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Times New Roman"/>
        </w:rPr>
      </w:pPr>
      <w:r>
        <w:rPr>
          <w:rFonts w:ascii="黑体" w:hAnsi="黑体" w:eastAsia="黑体" w:cs="Times New Roman"/>
        </w:rPr>
        <mc:AlternateContent>
          <mc:Choice Requires="wps">
            <w:drawing>
              <wp:anchor distT="0" distB="0" distL="114300" distR="114300" simplePos="0" relativeHeight="251659264" behindDoc="0" locked="0" layoutInCell="1" allowOverlap="1">
                <wp:simplePos x="0" y="0"/>
                <wp:positionH relativeFrom="column">
                  <wp:posOffset>2859405</wp:posOffset>
                </wp:positionH>
                <wp:positionV relativeFrom="topMargin">
                  <wp:posOffset>465455</wp:posOffset>
                </wp:positionV>
                <wp:extent cx="3696970" cy="792480"/>
                <wp:effectExtent l="0" t="0" r="0" b="0"/>
                <wp:wrapNone/>
                <wp:docPr id="7" name="Text Box 2"/>
                <wp:cNvGraphicFramePr/>
                <a:graphic xmlns:a="http://schemas.openxmlformats.org/drawingml/2006/main">
                  <a:graphicData uri="http://schemas.microsoft.com/office/word/2010/wordprocessingShape">
                    <wps:wsp>
                      <wps:cNvSpPr txBox="true">
                        <a:spLocks noChangeArrowheads="true"/>
                      </wps:cNvSpPr>
                      <wps:spPr bwMode="auto">
                        <a:xfrm>
                          <a:off x="0" y="0"/>
                          <a:ext cx="3696970" cy="792480"/>
                        </a:xfrm>
                        <a:prstGeom prst="rect">
                          <a:avLst/>
                        </a:prstGeom>
                        <a:noFill/>
                        <a:ln>
                          <a:noFill/>
                        </a:ln>
                      </wps:spPr>
                      <wps:txbx>
                        <w:txbxContent>
                          <w:p>
                            <w:pPr>
                              <w:pStyle w:val="29"/>
                              <w:shd w:val="clear" w:color="auto" w:fill="auto"/>
                              <w:wordWrap w:val="0"/>
                              <w:ind w:right="471" w:firstLine="625" w:firstLineChars="50"/>
                              <w:jc w:val="both"/>
                              <w:rPr>
                                <w:rFonts w:eastAsia="方正小标宋_GBK"/>
                                <w:sz w:val="84"/>
                                <w:szCs w:val="84"/>
                              </w:rPr>
                            </w:pPr>
                            <w:r>
                              <w:rPr>
                                <w:rFonts w:eastAsia="方正小标宋_GBK"/>
                                <w:szCs w:val="84"/>
                              </w:rPr>
                              <w:t>DB3205</w:t>
                            </w:r>
                          </w:p>
                        </w:txbxContent>
                      </wps:txbx>
                      <wps:bodyPr rot="0" vert="horz" wrap="square" lIns="91440" tIns="45720" rIns="91440" bIns="45720" anchor="t" anchorCtr="false" upright="true">
                        <a:spAutoFit/>
                      </wps:bodyPr>
                    </wps:wsp>
                  </a:graphicData>
                </a:graphic>
              </wp:anchor>
            </w:drawing>
          </mc:Choice>
          <mc:Fallback>
            <w:pict>
              <v:shape id="Text Box 2" o:spid="_x0000_s1026" o:spt="202" type="#_x0000_t202" style="position:absolute;left:0pt;margin-left:296.05pt;margin-top:36.65pt;height:62.4pt;width:291.1pt;mso-position-horizontal-relative:page;mso-position-vertical-relative:page;z-index:251659264;mso-width-relative:page;mso-height-relative:page;" filled="f" stroked="f" coordsize="21600,21600" o:gfxdata="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BYAAABkcnMvUEsBAhQAFAAAAAgAh07iQHp1+O7YAAAACwEAAA8AAAAAAAAAAQAgAAAAOAAA&#10;AGRycy9kb3ducmV2LnhtbFBLAQIUABQAAAAIAIdO4kDM3w308gEAANMDAAAOAAAAAAAAAAEAIAAA&#10;AD0BAABkcnMvZTJvRG9jLnhtbFBLBQYAAAAABgAGAFkBAAChBQAAAAA=&#10;">
                <v:fill on="f" focussize="0,0"/>
                <v:stroke on="f"/>
                <v:imagedata o:title=""/>
                <o:lock v:ext="edit" aspectratio="f"/>
                <v:textbox style="mso-fit-shape-to-text:t;">
                  <w:txbxContent>
                    <w:p>
                      <w:pPr>
                        <w:pStyle w:val="29"/>
                        <w:shd w:val="clear" w:color="auto" w:fill="auto"/>
                        <w:wordWrap w:val="0"/>
                        <w:ind w:right="471" w:firstLine="625" w:firstLineChars="50"/>
                        <w:jc w:val="both"/>
                        <w:rPr>
                          <w:rFonts w:eastAsia="方正小标宋_GBK"/>
                          <w:sz w:val="84"/>
                          <w:szCs w:val="84"/>
                        </w:rPr>
                      </w:pPr>
                      <w:r>
                        <w:rPr>
                          <w:rFonts w:eastAsia="方正小标宋_GBK"/>
                          <w:szCs w:val="84"/>
                        </w:rPr>
                        <w:t>DB3205</w:t>
                      </w:r>
                    </w:p>
                  </w:txbxContent>
                </v:textbox>
              </v:shape>
            </w:pict>
          </mc:Fallback>
        </mc:AlternateContent>
      </w:r>
      <w:r>
        <w:rPr>
          <w:rFonts w:ascii="黑体" w:hAnsi="黑体" w:eastAsia="黑体" w:cs="Times New Roman"/>
        </w:rPr>
        <w:t xml:space="preserve">ICS </w:t>
      </w:r>
      <w:r>
        <w:rPr>
          <w:rFonts w:hint="eastAsia" w:ascii="黑体" w:hAnsi="黑体" w:eastAsia="黑体" w:cs="Times New Roman"/>
        </w:rPr>
        <w:t>03</w:t>
      </w:r>
      <w:r>
        <w:rPr>
          <w:rFonts w:ascii="黑体" w:hAnsi="黑体" w:eastAsia="黑体" w:cs="Times New Roman"/>
        </w:rPr>
        <w:t>.</w:t>
      </w:r>
      <w:r>
        <w:rPr>
          <w:rFonts w:hint="eastAsia" w:ascii="黑体" w:hAnsi="黑体" w:eastAsia="黑体" w:cs="Times New Roman"/>
        </w:rPr>
        <w:t>080</w:t>
      </w:r>
    </w:p>
    <w:p>
      <w:pPr>
        <w:rPr>
          <w:rFonts w:ascii="黑体" w:hAnsi="黑体" w:eastAsia="黑体" w:cs="Times New Roman"/>
        </w:rPr>
      </w:pPr>
      <w:r>
        <w:rPr>
          <w:rFonts w:ascii="黑体" w:hAnsi="黑体" w:eastAsia="黑体" w:cs="Times New Roman"/>
        </w:rPr>
        <w:t xml:space="preserve">CCS A 16 </w:t>
      </w:r>
    </w:p>
    <w:p>
      <w:pPr>
        <w:rPr>
          <w:rFonts w:ascii="黑体" w:hAnsi="黑体" w:eastAsia="黑体"/>
        </w:rPr>
      </w:pPr>
    </w:p>
    <w:p>
      <w:pPr>
        <w:autoSpaceDE w:val="0"/>
        <w:autoSpaceDN w:val="0"/>
        <w:adjustRightInd w:val="0"/>
        <w:jc w:val="distribute"/>
        <w:rPr>
          <w:rFonts w:ascii="方正小标宋_GBK" w:eastAsia="方正小标宋_GBK" w:cs="Dotum,Bold"/>
          <w:bCs/>
          <w:snapToGrid w:val="0"/>
          <w:kern w:val="0"/>
          <w:sz w:val="52"/>
          <w:szCs w:val="52"/>
        </w:rPr>
      </w:pPr>
      <w:r>
        <w:rPr>
          <w:rFonts w:ascii="黑体" w:hAnsi="黑体" w:eastAsia="黑体"/>
        </w:rPr>
        <mc:AlternateContent>
          <mc:Choice Requires="wps">
            <w:drawing>
              <wp:anchor distT="0" distB="0" distL="114300" distR="114300" simplePos="0" relativeHeight="251662336" behindDoc="0" locked="0" layoutInCell="1" allowOverlap="1">
                <wp:simplePos x="0" y="0"/>
                <wp:positionH relativeFrom="column">
                  <wp:posOffset>80645</wp:posOffset>
                </wp:positionH>
                <wp:positionV relativeFrom="topMargin">
                  <wp:posOffset>1181100</wp:posOffset>
                </wp:positionV>
                <wp:extent cx="6120130" cy="615950"/>
                <wp:effectExtent l="0" t="0" r="0" b="0"/>
                <wp:wrapNone/>
                <wp:docPr id="3" name="Text Box 18"/>
                <wp:cNvGraphicFramePr/>
                <a:graphic xmlns:a="http://schemas.openxmlformats.org/drawingml/2006/main">
                  <a:graphicData uri="http://schemas.microsoft.com/office/word/2010/wordprocessingShape">
                    <wps:wsp>
                      <wps:cNvSpPr txBox="true">
                        <a:spLocks noChangeArrowheads="true"/>
                      </wps:cNvSpPr>
                      <wps:spPr bwMode="auto">
                        <a:xfrm>
                          <a:off x="0" y="0"/>
                          <a:ext cx="6120130" cy="615950"/>
                        </a:xfrm>
                        <a:prstGeom prst="rect">
                          <a:avLst/>
                        </a:prstGeom>
                        <a:noFill/>
                        <a:ln w="0">
                          <a:noFill/>
                          <a:miter lim="800000"/>
                        </a:ln>
                      </wps:spPr>
                      <wps:txbx>
                        <w:txbxContent>
                          <w:p>
                            <w:pPr>
                              <w:jc w:val="distribute"/>
                            </w:pPr>
                            <w:r>
                              <w:rPr>
                                <w:rFonts w:hint="eastAsia" w:ascii="方正小标宋_GBK" w:hAnsi="宋体" w:eastAsia="方正小标宋_GBK" w:cs="SimSun,Bold"/>
                                <w:bCs/>
                                <w:snapToGrid w:val="0"/>
                                <w:kern w:val="0"/>
                                <w:sz w:val="52"/>
                                <w:szCs w:val="52"/>
                              </w:rPr>
                              <w:t>苏州市地方标准</w:t>
                            </w:r>
                          </w:p>
                        </w:txbxContent>
                      </wps:txbx>
                      <wps:bodyPr rot="0" vert="horz" wrap="square" lIns="91440" tIns="45720" rIns="91440" bIns="45720" anchor="t" anchorCtr="false" upright="true">
                        <a:noAutofit/>
                      </wps:bodyPr>
                    </wps:wsp>
                  </a:graphicData>
                </a:graphic>
              </wp:anchor>
            </w:drawing>
          </mc:Choice>
          <mc:Fallback>
            <w:pict>
              <v:shape id="Text Box 18" o:spid="_x0000_s1026" o:spt="202" type="#_x0000_t202" style="position:absolute;left:0pt;margin-left:77.25pt;margin-top:93pt;height:48.5pt;width:481.9pt;mso-position-horizontal-relative:page;mso-position-vertical-relative:page;z-index:251662336;mso-width-relative:page;mso-height-relative:page;" filled="f" stroked="f" coordsize="21600,21600" o:gfxdata="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FgAAAGRycy9QSwECFAAUAAAACACHTuJAp6icQ9gAAAAKAQAA&#10;DwAAAAAAAAABACAAAAA4AAAAZHJzL2Rvd25yZXYueG1sUEsBAhQAFAAAAAgAh07iQGuVgo4DAgAA&#10;8QMAAA4AAAAAAAAAAQAgAAAAPQEAAGRycy9lMm9Eb2MueG1sUEsFBgAAAAAGAAYAWQEAALIFAAAA&#10;AA==&#10;">
                <v:fill on="f" focussize="0,0"/>
                <v:stroke on="f" weight="0pt" miterlimit="8" joinstyle="miter"/>
                <v:imagedata o:title=""/>
                <o:lock v:ext="edit" aspectratio="f"/>
                <v:textbox>
                  <w:txbxContent>
                    <w:p>
                      <w:pPr>
                        <w:jc w:val="distribute"/>
                      </w:pPr>
                      <w:r>
                        <w:rPr>
                          <w:rFonts w:hint="eastAsia" w:ascii="方正小标宋_GBK" w:hAnsi="宋体" w:eastAsia="方正小标宋_GBK" w:cs="SimSun,Bold"/>
                          <w:bCs/>
                          <w:snapToGrid w:val="0"/>
                          <w:kern w:val="0"/>
                          <w:sz w:val="52"/>
                          <w:szCs w:val="52"/>
                        </w:rPr>
                        <w:t>苏州市地方标准</w:t>
                      </w:r>
                    </w:p>
                  </w:txbxContent>
                </v:textbox>
              </v:shape>
            </w:pict>
          </mc:Fallback>
        </mc:AlternateContent>
      </w:r>
    </w:p>
    <w:p>
      <w:pPr>
        <w:spacing w:line="510" w:lineRule="exact"/>
        <w:rPr>
          <w:rFonts w:ascii="黑体" w:hAnsi="黑体" w:eastAsia="黑体"/>
          <w:kern w:val="0"/>
          <w:sz w:val="28"/>
          <w:szCs w:val="28"/>
        </w:rPr>
      </w:pPr>
      <w:r>
        <w:rPr>
          <w:rFonts w:hint="eastAsia" w:ascii="黑体" w:hAnsi="黑体" w:eastAsia="黑体"/>
        </w:rPr>
        <w:t xml:space="preserve">                                                                   </w:t>
      </w:r>
      <w:r>
        <w:rPr>
          <w:rFonts w:hint="eastAsia" w:ascii="黑体" w:hAnsi="黑体" w:eastAsia="黑体"/>
          <w:kern w:val="0"/>
          <w:sz w:val="28"/>
          <w:szCs w:val="28"/>
        </w:rPr>
        <w:t xml:space="preserve">  </w:t>
      </w:r>
    </w:p>
    <w:p>
      <w:pPr>
        <w:autoSpaceDE w:val="0"/>
        <w:autoSpaceDN w:val="0"/>
        <w:adjustRightInd w:val="0"/>
        <w:spacing w:line="3686" w:lineRule="exact"/>
        <w:jc w:val="center"/>
        <w:rPr>
          <w:rFonts w:ascii="黑体" w:hAnsi="黑体" w:eastAsia="黑体"/>
        </w:rPr>
      </w:pPr>
      <w:r>
        <w:rPr>
          <w:rFonts w:ascii="黑体" w:hAnsi="黑体" w:eastAsia="黑体"/>
        </w:rPr>
        <mc:AlternateContent>
          <mc:Choice Requires="wps">
            <w:drawing>
              <wp:anchor distT="0" distB="0" distL="114300" distR="114300" simplePos="0" relativeHeight="251663360" behindDoc="0" locked="0" layoutInCell="1" allowOverlap="1">
                <wp:simplePos x="0" y="0"/>
                <wp:positionH relativeFrom="rightMargin">
                  <wp:posOffset>-1712595</wp:posOffset>
                </wp:positionH>
                <wp:positionV relativeFrom="topMargin">
                  <wp:posOffset>2238375</wp:posOffset>
                </wp:positionV>
                <wp:extent cx="1927225" cy="304800"/>
                <wp:effectExtent l="0" t="0" r="0" b="0"/>
                <wp:wrapNone/>
                <wp:docPr id="6" name="Text Box 19"/>
                <wp:cNvGraphicFramePr/>
                <a:graphic xmlns:a="http://schemas.openxmlformats.org/drawingml/2006/main">
                  <a:graphicData uri="http://schemas.microsoft.com/office/word/2010/wordprocessingShape">
                    <wps:wsp>
                      <wps:cNvSpPr txBox="true">
                        <a:spLocks noChangeArrowheads="true"/>
                      </wps:cNvSpPr>
                      <wps:spPr bwMode="auto">
                        <a:xfrm>
                          <a:off x="0" y="0"/>
                          <a:ext cx="1927344" cy="304800"/>
                        </a:xfrm>
                        <a:prstGeom prst="rect">
                          <a:avLst/>
                        </a:prstGeom>
                        <a:noFill/>
                        <a:ln w="0">
                          <a:noFill/>
                          <a:miter lim="800000"/>
                        </a:ln>
                      </wps:spPr>
                      <wps:txb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wps:txbx>
                      <wps:bodyPr rot="0" vert="horz" wrap="square" lIns="91440" tIns="45720" rIns="91440" bIns="45720" anchor="t" anchorCtr="false" upright="true">
                        <a:noAutofit/>
                      </wps:bodyPr>
                    </wps:wsp>
                  </a:graphicData>
                </a:graphic>
              </wp:anchor>
            </w:drawing>
          </mc:Choice>
          <mc:Fallback>
            <w:pict>
              <v:shape id="Text Box 19" o:spid="_x0000_s1026" o:spt="202" type="#_x0000_t202" style="position:absolute;left:0pt;margin-left:417.9pt;margin-top:176.25pt;height:24pt;width:151.75pt;mso-position-horizontal-relative:page;mso-position-vertical-relative:page;z-index:251663360;mso-width-relative:page;mso-height-relative:page;" filled="f" stroked="f" coordsize="21600,21600" o:gfxdata="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BYAAABkcnMvUEsBAhQAFAAAAAgAh07iQKr5137bAAAA&#10;CwEAAA8AAAAAAAAAAQAgAAAAOAAAAGRycy9kb3ducmV2LnhtbFBLAQIUABQAAAAIAIdO4kB8rynt&#10;BAIAAPEDAAAOAAAAAAAAAAEAIAAAAEABAABkcnMvZTJvRG9jLnhtbFBLBQYAAAAABgAGAFkBAAC2&#10;BQAAAAA=&#10;">
                <v:fill on="f" focussize="0,0"/>
                <v:stroke on="f" weight="0pt" miterlimit="8" joinstyle="miter"/>
                <v:imagedata o:title=""/>
                <o:lock v:ext="edit" aspectratio="f"/>
                <v:textbox>
                  <w:txbxContent>
                    <w:p>
                      <w:pPr>
                        <w:spacing w:line="400" w:lineRule="exact"/>
                        <w:jc w:val="left"/>
                        <w:rPr>
                          <w:rFonts w:ascii="黑体" w:hAnsi="黑体" w:eastAsia="黑体"/>
                          <w:kern w:val="0"/>
                          <w:sz w:val="28"/>
                          <w:szCs w:val="28"/>
                        </w:rPr>
                      </w:pPr>
                      <w:r>
                        <w:rPr>
                          <w:rFonts w:ascii="黑体" w:hAnsi="黑体" w:eastAsia="黑体"/>
                          <w:kern w:val="0"/>
                          <w:sz w:val="28"/>
                          <w:szCs w:val="28"/>
                        </w:rPr>
                        <w:t>DB3205/T XXX</w:t>
                      </w:r>
                      <w:r>
                        <w:rPr>
                          <w:rFonts w:hint="eastAsia" w:ascii="黑体" w:hAnsi="黑体" w:eastAsia="黑体"/>
                          <w:kern w:val="0"/>
                          <w:sz w:val="28"/>
                          <w:szCs w:val="28"/>
                        </w:rPr>
                        <w:t>—</w:t>
                      </w:r>
                      <w:r>
                        <w:rPr>
                          <w:rFonts w:ascii="黑体" w:hAnsi="黑体" w:eastAsia="黑体"/>
                          <w:kern w:val="0"/>
                          <w:sz w:val="28"/>
                          <w:szCs w:val="28"/>
                        </w:rPr>
                        <w:t>XXXX</w:t>
                      </w:r>
                    </w:p>
                  </w:txbxContent>
                </v:textbox>
              </v:shape>
            </w:pict>
          </mc:Fallback>
        </mc:AlternateContent>
      </w:r>
      <w:r>
        <w:rPr>
          <w:rFonts w:ascii="黑体" w:hAnsi="黑体" w:eastAsia="黑体"/>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topMargin">
                  <wp:posOffset>2708910</wp:posOffset>
                </wp:positionV>
                <wp:extent cx="6115050" cy="0"/>
                <wp:effectExtent l="14605" t="13335" r="13970" b="15240"/>
                <wp:wrapNone/>
                <wp:docPr id="5" name="AutoShape 13"/>
                <wp:cNvGraphicFramePr/>
                <a:graphic xmlns:a="http://schemas.openxmlformats.org/drawingml/2006/main">
                  <a:graphicData uri="http://schemas.microsoft.com/office/word/2010/wordprocessingShape">
                    <wps:wsp>
                      <wps:cNvCnPr>
                        <a:cxnSpLocks noChangeShapeType="true"/>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70.9pt;margin-top:213.3pt;height:0pt;width:481.5pt;mso-position-horizontal-relative:page;mso-position-vertical-relative:page;z-index:251660288;mso-width-relative:page;mso-height-relative:page;" filled="f" stroked="t" coordsize="21600,21600" o:gfxdata="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WAAAAZHJzL1BLAQIUABQAAAAIAIdO4kCIy4Wx0wAAAAgBAAAPAAAAAAAAAAEAIAAAADgAAABk&#10;cnMvZG93bnJldi54bWxQSwECFAAUAAAACACHTuJAOWU6U7wBAABpAwAADgAAAAAAAAABACAAAAA4&#10;AQAAZHJzL2Uyb0RvYy54bWxQSwUGAAAAAAYABgBZAQAAZgUAAAAA&#10;">
                <v:fill on="f" focussize="0,0"/>
                <v:stroke weight="1pt" color="#000000" joinstyle="round"/>
                <v:imagedata o:title=""/>
                <o:lock v:ext="edit" aspectratio="f"/>
              </v:shape>
            </w:pict>
          </mc:Fallback>
        </mc:AlternateContent>
      </w:r>
      <w:r>
        <w:rPr>
          <w:rFonts w:ascii="黑体" w:hAnsi="黑体" w:eastAsia="黑体"/>
        </w:rPr>
        <mc:AlternateContent>
          <mc:Choice Requires="wps">
            <w:drawing>
              <wp:anchor distT="0" distB="0" distL="114300" distR="114300" simplePos="0" relativeHeight="251661312" behindDoc="0" locked="0" layoutInCell="1" allowOverlap="1">
                <wp:simplePos x="0" y="0"/>
                <wp:positionH relativeFrom="column">
                  <wp:posOffset>80645</wp:posOffset>
                </wp:positionH>
                <wp:positionV relativeFrom="topMargin">
                  <wp:posOffset>4140835</wp:posOffset>
                </wp:positionV>
                <wp:extent cx="5924550" cy="3248025"/>
                <wp:effectExtent l="0" t="0" r="0" b="0"/>
                <wp:wrapNone/>
                <wp:docPr id="4" name="Text Box 17"/>
                <wp:cNvGraphicFramePr/>
                <a:graphic xmlns:a="http://schemas.openxmlformats.org/drawingml/2006/main">
                  <a:graphicData uri="http://schemas.microsoft.com/office/word/2010/wordprocessingShape">
                    <wps:wsp>
                      <wps:cNvSpPr txBox="true">
                        <a:spLocks noChangeArrowheads="true"/>
                      </wps:cNvSpPr>
                      <wps:spPr bwMode="auto">
                        <a:xfrm>
                          <a:off x="0" y="0"/>
                          <a:ext cx="5924550" cy="3248025"/>
                        </a:xfrm>
                        <a:prstGeom prst="rect">
                          <a:avLst/>
                        </a:prstGeom>
                        <a:noFill/>
                        <a:ln w="0">
                          <a:noFill/>
                          <a:miter lim="800000"/>
                        </a:ln>
                      </wps:spPr>
                      <wps:txbx>
                        <w:txbxContent>
                          <w:p>
                            <w:pPr>
                              <w:jc w:val="center"/>
                              <w:rPr>
                                <w:rFonts w:ascii="黑体" w:hAnsi="宋体" w:eastAsia="黑体"/>
                                <w:sz w:val="52"/>
                                <w:szCs w:val="52"/>
                              </w:rPr>
                            </w:pPr>
                            <w:r>
                              <w:rPr>
                                <w:rFonts w:hint="eastAsia" w:ascii="黑体" w:hAnsi="宋体" w:eastAsia="黑体"/>
                                <w:sz w:val="52"/>
                                <w:szCs w:val="52"/>
                              </w:rPr>
                              <w:t>运动促进健康中心运营</w:t>
                            </w:r>
                            <w:r>
                              <w:rPr>
                                <w:rFonts w:ascii="黑体" w:hAnsi="宋体" w:eastAsia="黑体"/>
                                <w:sz w:val="52"/>
                                <w:szCs w:val="52"/>
                              </w:rPr>
                              <w:t>服务规范</w:t>
                            </w:r>
                          </w:p>
                          <w:p>
                            <w:pPr>
                              <w:jc w:val="center"/>
                              <w:rPr>
                                <w:rFonts w:hint="eastAsia" w:ascii="黑体" w:hAnsi="黑体" w:eastAsia="黑体"/>
                                <w:kern w:val="0"/>
                                <w:sz w:val="28"/>
                                <w:szCs w:val="21"/>
                                <w:lang w:val="en-US" w:eastAsia="zh-CN"/>
                              </w:rPr>
                            </w:pPr>
                            <w:r>
                              <w:rPr>
                                <w:rFonts w:ascii="黑体" w:hAnsi="黑体" w:eastAsia="黑体"/>
                                <w:kern w:val="0"/>
                                <w:sz w:val="28"/>
                                <w:szCs w:val="21"/>
                              </w:rPr>
                              <w:t>Specifications of operational service for exercise promotes</w:t>
                            </w:r>
                          </w:p>
                          <w:p>
                            <w:pPr>
                              <w:jc w:val="center"/>
                              <w:rPr>
                                <w:rStyle w:val="44"/>
                                <w:rFonts w:ascii="黑体" w:hAnsi="黑体" w:eastAsia="黑体"/>
                                <w:kern w:val="0"/>
                                <w:sz w:val="28"/>
                                <w:szCs w:val="21"/>
                              </w:rPr>
                            </w:pPr>
                            <w:r>
                              <w:rPr>
                                <w:rFonts w:ascii="黑体" w:hAnsi="黑体" w:eastAsia="黑体"/>
                                <w:kern w:val="0"/>
                                <w:sz w:val="28"/>
                                <w:szCs w:val="21"/>
                              </w:rPr>
                              <w:t>health centers</w:t>
                            </w:r>
                          </w:p>
                          <w:p>
                            <w:pPr>
                              <w:jc w:val="center"/>
                              <w:rPr>
                                <w:rFonts w:asciiTheme="minorEastAsia" w:hAnsiTheme="minorEastAsia"/>
                                <w:sz w:val="24"/>
                              </w:rPr>
                            </w:pPr>
                            <w:r>
                              <w:rPr>
                                <w:rFonts w:hint="eastAsia" w:asciiTheme="minorEastAsia" w:hAnsiTheme="minorEastAsia"/>
                                <w:sz w:val="24"/>
                              </w:rPr>
                              <w:t>（报批稿）</w:t>
                            </w:r>
                          </w:p>
                        </w:txbxContent>
                      </wps:txbx>
                      <wps:bodyPr rot="0" vert="horz" wrap="square" lIns="91440" tIns="45720" rIns="91440" bIns="45720" anchor="t" anchorCtr="false" upright="true">
                        <a:noAutofit/>
                      </wps:bodyPr>
                    </wps:wsp>
                  </a:graphicData>
                </a:graphic>
              </wp:anchor>
            </w:drawing>
          </mc:Choice>
          <mc:Fallback>
            <w:pict>
              <v:shape id="Text Box 17" o:spid="_x0000_s1026" o:spt="202" type="#_x0000_t202" style="position:absolute;left:0pt;margin-left:77.25pt;margin-top:326.05pt;height:255.75pt;width:466.5pt;mso-position-horizontal-relative:page;mso-position-vertical-relative:page;z-index:251661312;mso-width-relative:page;mso-height-relative:page;" filled="f" stroked="f" coordsize="21600,21600" o:gfxdata="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FgAAAGRycy9QSwECFAAUAAAACACHTuJAhzBuOtkAAAALAQAA&#10;DwAAAAAAAAABACAAAAA4AAAAZHJzL2Rvd25yZXYueG1sUEsBAhQAFAAAAAgAh07iQJkxDzQCAgAA&#10;8gMAAA4AAAAAAAAAAQAgAAAAPgEAAGRycy9lMm9Eb2MueG1sUEsFBgAAAAAGAAYAWQEAALIFAAAA&#10;AA==&#10;">
                <v:fill on="f" focussize="0,0"/>
                <v:stroke on="f" weight="0pt" miterlimit="8" joinstyle="miter"/>
                <v:imagedata o:title=""/>
                <o:lock v:ext="edit" aspectratio="f"/>
                <v:textbox>
                  <w:txbxContent>
                    <w:p>
                      <w:pPr>
                        <w:jc w:val="center"/>
                        <w:rPr>
                          <w:rFonts w:ascii="黑体" w:hAnsi="宋体" w:eastAsia="黑体"/>
                          <w:sz w:val="52"/>
                          <w:szCs w:val="52"/>
                        </w:rPr>
                      </w:pPr>
                      <w:r>
                        <w:rPr>
                          <w:rFonts w:hint="eastAsia" w:ascii="黑体" w:hAnsi="宋体" w:eastAsia="黑体"/>
                          <w:sz w:val="52"/>
                          <w:szCs w:val="52"/>
                        </w:rPr>
                        <w:t>运动促进健康中心运营</w:t>
                      </w:r>
                      <w:r>
                        <w:rPr>
                          <w:rFonts w:ascii="黑体" w:hAnsi="宋体" w:eastAsia="黑体"/>
                          <w:sz w:val="52"/>
                          <w:szCs w:val="52"/>
                        </w:rPr>
                        <w:t>服务规范</w:t>
                      </w:r>
                    </w:p>
                    <w:p>
                      <w:pPr>
                        <w:jc w:val="center"/>
                        <w:rPr>
                          <w:rFonts w:hint="eastAsia" w:ascii="黑体" w:hAnsi="黑体" w:eastAsia="黑体"/>
                          <w:kern w:val="0"/>
                          <w:sz w:val="28"/>
                          <w:szCs w:val="21"/>
                          <w:lang w:val="en-US" w:eastAsia="zh-CN"/>
                        </w:rPr>
                      </w:pPr>
                      <w:r>
                        <w:rPr>
                          <w:rFonts w:ascii="黑体" w:hAnsi="黑体" w:eastAsia="黑体"/>
                          <w:kern w:val="0"/>
                          <w:sz w:val="28"/>
                          <w:szCs w:val="21"/>
                        </w:rPr>
                        <w:t>Specifications of operational service for exercise promotes</w:t>
                      </w:r>
                    </w:p>
                    <w:p>
                      <w:pPr>
                        <w:jc w:val="center"/>
                        <w:rPr>
                          <w:rStyle w:val="44"/>
                          <w:rFonts w:ascii="黑体" w:hAnsi="黑体" w:eastAsia="黑体"/>
                          <w:kern w:val="0"/>
                          <w:sz w:val="28"/>
                          <w:szCs w:val="21"/>
                        </w:rPr>
                      </w:pPr>
                      <w:r>
                        <w:rPr>
                          <w:rFonts w:ascii="黑体" w:hAnsi="黑体" w:eastAsia="黑体"/>
                          <w:kern w:val="0"/>
                          <w:sz w:val="28"/>
                          <w:szCs w:val="21"/>
                        </w:rPr>
                        <w:t>health centers</w:t>
                      </w:r>
                    </w:p>
                    <w:p>
                      <w:pPr>
                        <w:jc w:val="center"/>
                        <w:rPr>
                          <w:rFonts w:asciiTheme="minorEastAsia" w:hAnsiTheme="minorEastAsia"/>
                          <w:sz w:val="24"/>
                        </w:rPr>
                      </w:pPr>
                      <w:r>
                        <w:rPr>
                          <w:rFonts w:hint="eastAsia" w:asciiTheme="minorEastAsia" w:hAnsiTheme="minorEastAsia"/>
                          <w:sz w:val="24"/>
                        </w:rPr>
                        <w:t>（报批稿）</w:t>
                      </w:r>
                    </w:p>
                  </w:txbxContent>
                </v:textbox>
              </v:shape>
            </w:pict>
          </mc:Fallback>
        </mc:AlternateContent>
      </w: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r>
        <w:rPr>
          <w:rFonts w:hint="eastAsia" w:ascii="黑体" w:hAnsi="黑体" w:eastAsia="黑体"/>
        </w:rPr>
        <w:t xml:space="preserve">                                                                                          </w:t>
      </w:r>
    </w:p>
    <w:p>
      <w:pPr>
        <w:pStyle w:val="2"/>
      </w:pPr>
    </w:p>
    <w:p>
      <w:pPr>
        <w:pStyle w:val="2"/>
      </w:pPr>
    </w:p>
    <w:p>
      <w:pPr>
        <w:pStyle w:val="2"/>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sz w:val="28"/>
          <w:szCs w:val="28"/>
        </w:rPr>
      </w:pPr>
      <w:r>
        <w:rPr>
          <w:rFonts w:ascii="黑体" w:hAnsi="黑体" w:eastAsia="黑体"/>
          <w:sz w:val="28"/>
          <w:szCs w:val="28"/>
        </w:rPr>
        <mc:AlternateContent>
          <mc:Choice Requires="wps">
            <w:drawing>
              <wp:anchor distT="0" distB="0" distL="114300" distR="114300" simplePos="0" relativeHeight="251663360" behindDoc="0" locked="0" layoutInCell="1" allowOverlap="1">
                <wp:simplePos x="0" y="0"/>
                <wp:positionH relativeFrom="margin">
                  <wp:posOffset>-14605</wp:posOffset>
                </wp:positionH>
                <wp:positionV relativeFrom="topMargin">
                  <wp:posOffset>9133205</wp:posOffset>
                </wp:positionV>
                <wp:extent cx="6115050" cy="0"/>
                <wp:effectExtent l="0" t="0" r="19050" b="19050"/>
                <wp:wrapNone/>
                <wp:docPr id="8" name="AutoShape 13"/>
                <wp:cNvGraphicFramePr/>
                <a:graphic xmlns:a="http://schemas.openxmlformats.org/drawingml/2006/main">
                  <a:graphicData uri="http://schemas.microsoft.com/office/word/2010/wordprocessingShape">
                    <wps:wsp>
                      <wps:cNvCnPr>
                        <a:cxnSpLocks noChangeShapeType="true"/>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69.75pt;margin-top:719.15pt;height:0pt;width:481.5pt;mso-position-horizontal-relative:page;mso-position-vertical-relative:page;z-index:251663360;mso-width-relative:page;mso-height-relative:page;" filled="f" stroked="t" coordsize="21600,21600" o:gfxdata="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WAAAAZHJzL1BLAQIUABQAAAAIAIdO4kCvMgXH1gAAAAwBAAAPAAAAAAAAAAEAIAAAADgA&#10;AABkcnMvZG93bnJldi54bWxQSwECFAAUAAAACACHTuJAbdKPlLwBAABpAwAADgAAAAAAAAABACAA&#10;AAA7AQAAZHJzL2Uyb0RvYy54bWxQSwUGAAAAAAYABgBZAQAAaQUAAAAA&#10;">
                <v:fill on="f" focussize="0,0"/>
                <v:stroke weight="1pt" color="#000000" joinstyle="round"/>
                <v:imagedata o:title=""/>
                <o:lock v:ext="edit" aspectratio="f"/>
              </v:shape>
            </w:pict>
          </mc:Fallback>
        </mc:AlternateContent>
      </w:r>
      <w:r>
        <w:rPr>
          <w:rFonts w:hint="eastAsia" w:ascii="黑体" w:hAnsi="黑体" w:eastAsia="黑体"/>
          <w:sz w:val="28"/>
          <w:szCs w:val="28"/>
        </w:rPr>
        <w:t>2024-XX-XX发布                                       2024-XX-XX实施</w:t>
      </w:r>
    </w:p>
    <w:p>
      <w:pPr>
        <w:spacing w:line="1247" w:lineRule="exact"/>
        <w:jc w:val="center"/>
        <w:rPr>
          <w:rFonts w:ascii="黑体" w:hAnsi="黑体" w:eastAsia="黑体"/>
          <w:sz w:val="28"/>
          <w:szCs w:val="28"/>
        </w:rPr>
      </w:pPr>
      <w:bookmarkStart w:id="0" w:name="_Toc3547"/>
      <w:bookmarkStart w:id="1" w:name="_Toc18385"/>
      <w:r>
        <w:rPr>
          <w:rFonts w:hint="eastAsia" w:ascii="方正小标宋_GBK" w:eastAsia="方正小标宋_GBK"/>
          <w:sz w:val="44"/>
          <w:szCs w:val="44"/>
        </w:rPr>
        <w:t>苏州市市场监督管理局</w:t>
      </w:r>
      <w:r>
        <w:rPr>
          <w:rFonts w:hint="eastAsia" w:ascii="方正小标宋_GBK" w:hAnsi="宋体" w:eastAsia="方正小标宋_GBK" w:cs="SimSun,Bold"/>
          <w:bCs/>
          <w:snapToGrid w:val="0"/>
          <w:kern w:val="0"/>
          <w:sz w:val="44"/>
          <w:szCs w:val="52"/>
        </w:rPr>
        <w:t xml:space="preserve">  </w:t>
      </w:r>
      <w:r>
        <w:rPr>
          <w:rFonts w:hint="eastAsia" w:ascii="黑体" w:hAnsi="黑体" w:eastAsia="黑体"/>
          <w:sz w:val="28"/>
          <w:szCs w:val="28"/>
        </w:rPr>
        <w:t>发 布</w:t>
      </w:r>
      <w:bookmarkEnd w:id="0"/>
      <w:bookmarkEnd w:id="1"/>
    </w:p>
    <w:p>
      <w:pPr>
        <w:pStyle w:val="2"/>
      </w:pPr>
    </w:p>
    <w:p>
      <w:pPr>
        <w:rPr>
          <w:rFonts w:ascii="黑体" w:hAnsi="黑体" w:eastAsia="黑体"/>
          <w:sz w:val="28"/>
          <w:szCs w:val="28"/>
        </w:rPr>
        <w:sectPr>
          <w:pgSz w:w="11906" w:h="16838"/>
          <w:pgMar w:top="567" w:right="851" w:bottom="1134" w:left="1418" w:header="0" w:footer="0" w:gutter="0"/>
          <w:cols w:space="425" w:num="1"/>
          <w:docGrid w:type="lines" w:linePitch="312" w:charSpace="0"/>
        </w:sectPr>
      </w:pPr>
    </w:p>
    <w:p>
      <w:pPr>
        <w:snapToGrid w:val="0"/>
        <w:spacing w:before="567" w:after="680"/>
        <w:jc w:val="center"/>
        <w:rPr>
          <w:rFonts w:ascii="黑体" w:hAnsi="黑体" w:eastAsia="黑体"/>
          <w:sz w:val="32"/>
          <w:szCs w:val="32"/>
        </w:rPr>
      </w:pPr>
      <w:r>
        <w:rPr>
          <w:rFonts w:hint="eastAsia" w:ascii="黑体" w:hAnsi="黑体" w:eastAsia="黑体"/>
          <w:sz w:val="32"/>
          <w:szCs w:val="32"/>
        </w:rPr>
        <w:t>目</w:t>
      </w:r>
      <w:r>
        <w:rPr>
          <w:rFonts w:hint="eastAsia" w:ascii="黑体" w:hAnsi="黑体" w:eastAsia="黑体"/>
          <w:bCs/>
          <w:sz w:val="32"/>
          <w:szCs w:val="32"/>
        </w:rPr>
        <w:t xml:space="preserve">    </w:t>
      </w:r>
      <w:r>
        <w:rPr>
          <w:rFonts w:hint="eastAsia" w:ascii="黑体" w:hAnsi="黑体" w:eastAsia="黑体"/>
          <w:sz w:val="32"/>
          <w:szCs w:val="32"/>
        </w:rPr>
        <w:t>次</w:t>
      </w:r>
    </w:p>
    <w:p>
      <w:pPr>
        <w:pStyle w:val="15"/>
        <w:tabs>
          <w:tab w:val="right" w:leader="dot"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TOC \o "1-3" \h \z \u </w:instrText>
      </w:r>
      <w:r>
        <w:rPr>
          <w:rFonts w:hint="eastAsia" w:ascii="宋体" w:hAnsi="宋体" w:eastAsia="宋体" w:cs="宋体"/>
          <w:szCs w:val="21"/>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"_Toc182038334" </w:instrText>
      </w:r>
      <w:r>
        <w:rPr>
          <w:rFonts w:hint="eastAsia" w:ascii="宋体" w:hAnsi="宋体" w:eastAsia="宋体" w:cs="宋体"/>
        </w:rPr>
        <w:fldChar w:fldCharType="separate"/>
      </w:r>
      <w:r>
        <w:rPr>
          <w:rStyle w:val="23"/>
          <w:rFonts w:hint="eastAsia" w:ascii="宋体" w:hAnsi="宋体" w:eastAsia="宋体" w:cs="宋体"/>
          <w:color w:val="auto"/>
          <w:kern w:val="0"/>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_Toc182038334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pPr>
        <w:pStyle w:val="15"/>
        <w:tabs>
          <w:tab w:val="right" w:leader="dot"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"_Toc182038335" </w:instrText>
      </w:r>
      <w:r>
        <w:rPr>
          <w:rFonts w:hint="eastAsia" w:ascii="宋体" w:hAnsi="宋体" w:eastAsia="宋体" w:cs="宋体"/>
        </w:rPr>
        <w:fldChar w:fldCharType="separate"/>
      </w:r>
      <w:r>
        <w:rPr>
          <w:rStyle w:val="23"/>
          <w:rFonts w:hint="eastAsia" w:ascii="宋体" w:hAnsi="宋体" w:eastAsia="宋体" w:cs="宋体"/>
          <w:color w:val="auto"/>
        </w:rPr>
        <w:t>1  范围</w:t>
      </w:r>
      <w:r>
        <w:rPr>
          <w:rFonts w:hint="eastAsia" w:ascii="宋体" w:hAnsi="宋体" w:eastAsia="宋体" w:cs="宋体"/>
        </w:rPr>
        <w:tab/>
      </w:r>
      <w:r>
        <w:rPr>
          <w:rFonts w:hint="eastAsia" w:ascii="宋体" w:hAnsi="宋体" w:eastAsia="宋体" w:cs="宋体"/>
          <w:lang w:val="en-US" w:eastAsia="zh-CN"/>
        </w:rPr>
        <w:t>1</w:t>
      </w:r>
      <w:r>
        <w:rPr>
          <w:rFonts w:hint="eastAsia" w:ascii="宋体" w:hAnsi="宋体" w:eastAsia="宋体" w:cs="宋体"/>
        </w:rPr>
        <w:fldChar w:fldCharType="end"/>
      </w:r>
    </w:p>
    <w:p>
      <w:pPr>
        <w:pStyle w:val="15"/>
        <w:tabs>
          <w:tab w:val="right" w:leader="dot"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"_Toc182038336" </w:instrText>
      </w:r>
      <w:r>
        <w:rPr>
          <w:rFonts w:hint="eastAsia" w:ascii="宋体" w:hAnsi="宋体" w:eastAsia="宋体" w:cs="宋体"/>
        </w:rPr>
        <w:fldChar w:fldCharType="separate"/>
      </w:r>
      <w:r>
        <w:rPr>
          <w:rStyle w:val="23"/>
          <w:rFonts w:hint="eastAsia" w:ascii="宋体" w:hAnsi="宋体" w:eastAsia="宋体" w:cs="宋体"/>
          <w:color w:val="auto"/>
        </w:rPr>
        <w:t>2  规范性引用文件</w:t>
      </w:r>
      <w:r>
        <w:rPr>
          <w:rFonts w:hint="eastAsia" w:ascii="宋体" w:hAnsi="宋体" w:eastAsia="宋体" w:cs="宋体"/>
        </w:rPr>
        <w:tab/>
      </w:r>
      <w:r>
        <w:rPr>
          <w:rFonts w:hint="eastAsia" w:ascii="宋体" w:hAnsi="宋体" w:eastAsia="宋体" w:cs="宋体"/>
          <w:lang w:val="en-US" w:eastAsia="zh-CN"/>
        </w:rPr>
        <w:t>1</w:t>
      </w:r>
      <w:r>
        <w:rPr>
          <w:rFonts w:hint="eastAsia" w:ascii="宋体" w:hAnsi="宋体" w:eastAsia="宋体" w:cs="宋体"/>
        </w:rPr>
        <w:fldChar w:fldCharType="end"/>
      </w:r>
    </w:p>
    <w:p>
      <w:pPr>
        <w:pStyle w:val="15"/>
        <w:tabs>
          <w:tab w:val="right" w:leader="dot"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"_Toc182038337" </w:instrText>
      </w:r>
      <w:r>
        <w:rPr>
          <w:rFonts w:hint="eastAsia" w:ascii="宋体" w:hAnsi="宋体" w:eastAsia="宋体" w:cs="宋体"/>
        </w:rPr>
        <w:fldChar w:fldCharType="separate"/>
      </w:r>
      <w:r>
        <w:rPr>
          <w:rStyle w:val="23"/>
          <w:rFonts w:hint="eastAsia" w:ascii="宋体" w:hAnsi="宋体" w:eastAsia="宋体" w:cs="宋体"/>
          <w:color w:val="auto"/>
        </w:rPr>
        <w:t>3  术语和定义</w:t>
      </w:r>
      <w:r>
        <w:rPr>
          <w:rFonts w:hint="eastAsia" w:ascii="宋体" w:hAnsi="宋体" w:eastAsia="宋体" w:cs="宋体"/>
        </w:rPr>
        <w:tab/>
      </w:r>
      <w:r>
        <w:rPr>
          <w:rFonts w:hint="eastAsia" w:ascii="宋体" w:hAnsi="宋体" w:eastAsia="宋体" w:cs="宋体"/>
          <w:lang w:val="en-US" w:eastAsia="zh-CN"/>
        </w:rPr>
        <w:t>1</w:t>
      </w:r>
      <w:r>
        <w:rPr>
          <w:rFonts w:hint="eastAsia" w:ascii="宋体" w:hAnsi="宋体" w:eastAsia="宋体" w:cs="宋体"/>
        </w:rPr>
        <w:fldChar w:fldCharType="end"/>
      </w:r>
    </w:p>
    <w:p>
      <w:pPr>
        <w:pStyle w:val="15"/>
        <w:tabs>
          <w:tab w:val="right" w:leader="dot"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"_Toc182038338" </w:instrText>
      </w:r>
      <w:r>
        <w:rPr>
          <w:rFonts w:hint="eastAsia" w:ascii="宋体" w:hAnsi="宋体" w:eastAsia="宋体" w:cs="宋体"/>
        </w:rPr>
        <w:fldChar w:fldCharType="separate"/>
      </w:r>
      <w:r>
        <w:rPr>
          <w:rStyle w:val="23"/>
          <w:rFonts w:hint="eastAsia" w:ascii="宋体" w:hAnsi="宋体" w:eastAsia="宋体" w:cs="宋体"/>
          <w:color w:val="auto"/>
        </w:rPr>
        <w:t>4  组织管理</w:t>
      </w:r>
      <w:r>
        <w:rPr>
          <w:rFonts w:hint="eastAsia" w:ascii="宋体" w:hAnsi="宋体" w:eastAsia="宋体" w:cs="宋体"/>
        </w:rPr>
        <w:tab/>
      </w:r>
      <w:r>
        <w:rPr>
          <w:rFonts w:hint="eastAsia" w:ascii="宋体" w:hAnsi="宋体" w:eastAsia="宋体" w:cs="宋体"/>
          <w:lang w:val="en-US" w:eastAsia="zh-CN"/>
        </w:rPr>
        <w:t>1</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"_Toc182038339"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4.1</w:t>
      </w:r>
      <w:r>
        <w:rPr>
          <w:rStyle w:val="23"/>
          <w:rFonts w:hint="eastAsia" w:ascii="宋体" w:hAnsi="宋体" w:eastAsia="宋体" w:cs="宋体"/>
          <w:color w:val="auto"/>
        </w:rPr>
        <w:t xml:space="preserve"> </w:t>
      </w:r>
      <w:r>
        <w:rPr>
          <w:rStyle w:val="23"/>
          <w:rFonts w:hint="eastAsia" w:ascii="宋体" w:hAnsi="宋体" w:eastAsia="宋体" w:cs="宋体"/>
          <w:color w:val="auto"/>
          <w:lang w:val="en-US" w:eastAsia="zh-CN"/>
        </w:rPr>
        <w:t xml:space="preserve"> </w:t>
      </w:r>
      <w:r>
        <w:rPr>
          <w:rStyle w:val="23"/>
          <w:rFonts w:hint="eastAsia" w:ascii="宋体" w:hAnsi="宋体" w:eastAsia="宋体" w:cs="宋体"/>
          <w:color w:val="auto"/>
        </w:rPr>
        <w:t>制度要求</w:t>
      </w:r>
      <w:r>
        <w:rPr>
          <w:rFonts w:hint="eastAsia" w:ascii="宋体" w:hAnsi="宋体" w:eastAsia="宋体" w:cs="宋体"/>
        </w:rPr>
        <w:tab/>
      </w:r>
      <w:r>
        <w:rPr>
          <w:rFonts w:hint="eastAsia" w:ascii="宋体" w:hAnsi="宋体" w:eastAsia="宋体" w:cs="宋体"/>
          <w:lang w:val="en-US" w:eastAsia="zh-CN"/>
        </w:rPr>
        <w:t>1</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"_Toc182038340"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4.2</w:t>
      </w:r>
      <w:r>
        <w:rPr>
          <w:rStyle w:val="23"/>
          <w:rFonts w:hint="eastAsia" w:ascii="宋体" w:hAnsi="宋体" w:eastAsia="宋体" w:cs="宋体"/>
          <w:color w:val="auto"/>
        </w:rPr>
        <w:t xml:space="preserve"> </w:t>
      </w:r>
      <w:r>
        <w:rPr>
          <w:rStyle w:val="23"/>
          <w:rFonts w:hint="eastAsia" w:ascii="宋体" w:hAnsi="宋体" w:eastAsia="宋体" w:cs="宋体"/>
          <w:color w:val="auto"/>
          <w:lang w:val="en-US" w:eastAsia="zh-CN"/>
        </w:rPr>
        <w:t xml:space="preserve"> </w:t>
      </w:r>
      <w:r>
        <w:rPr>
          <w:rStyle w:val="23"/>
          <w:rFonts w:hint="eastAsia" w:ascii="宋体" w:hAnsi="宋体" w:eastAsia="宋体" w:cs="宋体"/>
          <w:color w:val="auto"/>
        </w:rPr>
        <w:t>运营要求</w:t>
      </w:r>
      <w:r>
        <w:rPr>
          <w:rFonts w:hint="eastAsia" w:ascii="宋体" w:hAnsi="宋体" w:eastAsia="宋体" w:cs="宋体"/>
        </w:rPr>
        <w:tab/>
      </w:r>
      <w:r>
        <w:rPr>
          <w:rFonts w:hint="eastAsia" w:ascii="宋体" w:hAnsi="宋体" w:eastAsia="宋体" w:cs="宋体"/>
          <w:lang w:val="en-US" w:eastAsia="zh-CN"/>
        </w:rPr>
        <w:t>2</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"_Toc182038341"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4.3</w:t>
      </w:r>
      <w:r>
        <w:rPr>
          <w:rStyle w:val="23"/>
          <w:rFonts w:hint="eastAsia" w:ascii="宋体" w:hAnsi="宋体" w:eastAsia="宋体" w:cs="宋体"/>
          <w:color w:val="auto"/>
        </w:rPr>
        <w:t xml:space="preserve"> </w:t>
      </w:r>
      <w:r>
        <w:rPr>
          <w:rStyle w:val="23"/>
          <w:rFonts w:hint="eastAsia" w:ascii="宋体" w:hAnsi="宋体" w:eastAsia="宋体" w:cs="宋体"/>
          <w:color w:val="auto"/>
          <w:lang w:val="en-US" w:eastAsia="zh-CN"/>
        </w:rPr>
        <w:t xml:space="preserve"> </w:t>
      </w:r>
      <w:r>
        <w:rPr>
          <w:rStyle w:val="23"/>
          <w:rFonts w:hint="eastAsia" w:ascii="宋体" w:hAnsi="宋体" w:eastAsia="宋体" w:cs="宋体"/>
          <w:color w:val="auto"/>
        </w:rPr>
        <w:t>功能设置</w:t>
      </w:r>
      <w:r>
        <w:rPr>
          <w:rFonts w:hint="eastAsia" w:ascii="宋体" w:hAnsi="宋体" w:eastAsia="宋体" w:cs="宋体"/>
        </w:rPr>
        <w:tab/>
      </w:r>
      <w:r>
        <w:rPr>
          <w:rFonts w:hint="eastAsia" w:ascii="宋体" w:hAnsi="宋体" w:eastAsia="宋体" w:cs="宋体"/>
          <w:lang w:val="en-US" w:eastAsia="zh-CN"/>
        </w:rPr>
        <w:t>2</w:t>
      </w:r>
      <w:r>
        <w:rPr>
          <w:rFonts w:hint="eastAsia" w:ascii="宋体" w:hAnsi="宋体" w:eastAsia="宋体" w:cs="宋体"/>
        </w:rPr>
        <w:fldChar w:fldCharType="end"/>
      </w:r>
    </w:p>
    <w:p>
      <w:pPr>
        <w:pStyle w:val="15"/>
        <w:tabs>
          <w:tab w:val="right" w:leader="dot"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"_Toc182038345" </w:instrText>
      </w:r>
      <w:r>
        <w:rPr>
          <w:rFonts w:hint="eastAsia" w:ascii="宋体" w:hAnsi="宋体" w:eastAsia="宋体" w:cs="宋体"/>
        </w:rPr>
        <w:fldChar w:fldCharType="separate"/>
      </w:r>
      <w:r>
        <w:rPr>
          <w:rStyle w:val="23"/>
          <w:rFonts w:hint="eastAsia" w:ascii="宋体" w:hAnsi="宋体" w:eastAsia="宋体" w:cs="宋体"/>
          <w:color w:val="auto"/>
        </w:rPr>
        <w:t>5  服务内容与要求</w:t>
      </w:r>
      <w:r>
        <w:rPr>
          <w:rFonts w:hint="eastAsia" w:ascii="宋体" w:hAnsi="宋体" w:eastAsia="宋体" w:cs="宋体"/>
        </w:rPr>
        <w:tab/>
      </w:r>
      <w:r>
        <w:rPr>
          <w:rFonts w:hint="eastAsia" w:ascii="宋体" w:hAnsi="宋体" w:eastAsia="宋体" w:cs="宋体"/>
          <w:lang w:val="en-US" w:eastAsia="zh-CN"/>
        </w:rPr>
        <w:t>3</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"_Toc182038346"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5.1</w:t>
      </w:r>
      <w:r>
        <w:rPr>
          <w:rStyle w:val="23"/>
          <w:rFonts w:hint="eastAsia" w:ascii="宋体" w:hAnsi="宋体" w:eastAsia="宋体" w:cs="宋体"/>
          <w:color w:val="auto"/>
        </w:rPr>
        <w:t xml:space="preserve">  体质和健康检测</w:t>
      </w:r>
      <w:r>
        <w:rPr>
          <w:rFonts w:hint="eastAsia" w:ascii="宋体" w:hAnsi="宋体" w:eastAsia="宋体" w:cs="宋体"/>
        </w:rPr>
        <w:tab/>
      </w:r>
      <w:r>
        <w:rPr>
          <w:rFonts w:hint="eastAsia" w:ascii="宋体" w:hAnsi="宋体" w:eastAsia="宋体" w:cs="宋体"/>
          <w:lang w:val="en-US" w:eastAsia="zh-CN"/>
        </w:rPr>
        <w:t>3</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"_Toc182038347"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5.2</w:t>
      </w:r>
      <w:r>
        <w:rPr>
          <w:rStyle w:val="23"/>
          <w:rFonts w:hint="eastAsia" w:ascii="宋体" w:hAnsi="宋体" w:eastAsia="宋体" w:cs="宋体"/>
          <w:color w:val="auto"/>
        </w:rPr>
        <w:t xml:space="preserve">  运动处方开具</w:t>
      </w:r>
      <w:r>
        <w:rPr>
          <w:rFonts w:hint="eastAsia" w:ascii="宋体" w:hAnsi="宋体" w:eastAsia="宋体" w:cs="宋体"/>
        </w:rPr>
        <w:tab/>
      </w:r>
      <w:r>
        <w:rPr>
          <w:rFonts w:hint="eastAsia" w:ascii="宋体" w:hAnsi="宋体" w:eastAsia="宋体" w:cs="宋体"/>
          <w:lang w:val="en-US" w:eastAsia="zh-CN"/>
        </w:rPr>
        <w:t>3</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"_Toc182038348"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5.3</w:t>
      </w:r>
      <w:r>
        <w:rPr>
          <w:rStyle w:val="23"/>
          <w:rFonts w:hint="eastAsia" w:ascii="宋体" w:hAnsi="宋体" w:eastAsia="宋体" w:cs="宋体"/>
          <w:color w:val="auto"/>
        </w:rPr>
        <w:t xml:space="preserve">  科学健身指导</w:t>
      </w:r>
      <w:r>
        <w:rPr>
          <w:rFonts w:hint="eastAsia" w:ascii="宋体" w:hAnsi="宋体" w:eastAsia="宋体" w:cs="宋体"/>
        </w:rPr>
        <w:tab/>
      </w:r>
      <w:r>
        <w:rPr>
          <w:rFonts w:hint="eastAsia" w:ascii="宋体" w:hAnsi="宋体" w:eastAsia="宋体" w:cs="宋体"/>
          <w:lang w:val="en-US" w:eastAsia="zh-CN"/>
        </w:rPr>
        <w:t>4</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"_Toc182038349"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5.4</w:t>
      </w:r>
      <w:r>
        <w:rPr>
          <w:rStyle w:val="23"/>
          <w:rFonts w:hint="eastAsia" w:ascii="宋体" w:hAnsi="宋体" w:eastAsia="宋体" w:cs="宋体"/>
          <w:color w:val="auto"/>
        </w:rPr>
        <w:t xml:space="preserve">  运动康复训练</w:t>
      </w:r>
      <w:r>
        <w:rPr>
          <w:rFonts w:hint="eastAsia" w:ascii="宋体" w:hAnsi="宋体" w:eastAsia="宋体" w:cs="宋体"/>
        </w:rPr>
        <w:tab/>
      </w:r>
      <w:r>
        <w:rPr>
          <w:rFonts w:hint="eastAsia" w:ascii="宋体" w:hAnsi="宋体" w:eastAsia="宋体" w:cs="宋体"/>
          <w:lang w:val="en-US" w:eastAsia="zh-CN"/>
        </w:rPr>
        <w:t>4</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"_Toc182038350"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5.5</w:t>
      </w:r>
      <w:r>
        <w:rPr>
          <w:rStyle w:val="23"/>
          <w:rFonts w:hint="eastAsia" w:ascii="宋体" w:hAnsi="宋体" w:eastAsia="宋体" w:cs="宋体"/>
          <w:color w:val="auto"/>
        </w:rPr>
        <w:t xml:space="preserve">  科学健身知识宣讲</w:t>
      </w:r>
      <w:r>
        <w:rPr>
          <w:rFonts w:hint="eastAsia" w:ascii="宋体" w:hAnsi="宋体" w:eastAsia="宋体" w:cs="宋体"/>
        </w:rPr>
        <w:tab/>
      </w:r>
      <w:r>
        <w:rPr>
          <w:rFonts w:hint="eastAsia" w:ascii="宋体" w:hAnsi="宋体" w:eastAsia="宋体" w:cs="宋体"/>
          <w:lang w:val="en-US" w:eastAsia="zh-CN"/>
        </w:rPr>
        <w:t>4</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"_Toc182038351"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5.6</w:t>
      </w:r>
      <w:r>
        <w:rPr>
          <w:rStyle w:val="23"/>
          <w:rFonts w:hint="eastAsia" w:ascii="宋体" w:hAnsi="宋体" w:eastAsia="宋体" w:cs="宋体"/>
          <w:color w:val="auto"/>
        </w:rPr>
        <w:t xml:space="preserve">  体育赛事活动保障</w:t>
      </w:r>
      <w:r>
        <w:rPr>
          <w:rFonts w:hint="eastAsia" w:ascii="宋体" w:hAnsi="宋体" w:eastAsia="宋体" w:cs="宋体"/>
        </w:rPr>
        <w:tab/>
      </w:r>
      <w:r>
        <w:rPr>
          <w:rFonts w:hint="eastAsia" w:ascii="宋体" w:hAnsi="宋体" w:eastAsia="宋体" w:cs="宋体"/>
          <w:lang w:val="en-US" w:eastAsia="zh-CN"/>
        </w:rPr>
        <w:t>4</w:t>
      </w:r>
      <w:r>
        <w:rPr>
          <w:rFonts w:hint="eastAsia" w:ascii="宋体" w:hAnsi="宋体" w:eastAsia="宋体" w:cs="宋体"/>
        </w:rPr>
        <w:fldChar w:fldCharType="end"/>
      </w:r>
    </w:p>
    <w:p>
      <w:pPr>
        <w:pStyle w:val="15"/>
        <w:tabs>
          <w:tab w:val="right" w:leader="dot"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"_Toc182038352" </w:instrText>
      </w:r>
      <w:r>
        <w:rPr>
          <w:rFonts w:hint="eastAsia" w:ascii="宋体" w:hAnsi="宋体" w:eastAsia="宋体" w:cs="宋体"/>
        </w:rPr>
        <w:fldChar w:fldCharType="separate"/>
      </w:r>
      <w:r>
        <w:rPr>
          <w:rStyle w:val="23"/>
          <w:rFonts w:hint="eastAsia" w:ascii="宋体" w:hAnsi="宋体" w:eastAsia="宋体" w:cs="宋体"/>
          <w:color w:val="auto"/>
        </w:rPr>
        <w:t>6  服务流程</w:t>
      </w:r>
      <w:r>
        <w:rPr>
          <w:rFonts w:hint="eastAsia" w:ascii="宋体" w:hAnsi="宋体" w:eastAsia="宋体" w:cs="宋体"/>
        </w:rPr>
        <w:tab/>
      </w:r>
      <w:r>
        <w:rPr>
          <w:rFonts w:hint="eastAsia" w:ascii="宋体" w:hAnsi="宋体" w:eastAsia="宋体" w:cs="宋体"/>
          <w:lang w:val="en-US" w:eastAsia="zh-CN"/>
        </w:rPr>
        <w:t>4</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"_Toc182038353"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6.1</w:t>
      </w:r>
      <w:r>
        <w:rPr>
          <w:rStyle w:val="23"/>
          <w:rFonts w:hint="eastAsia" w:ascii="宋体" w:hAnsi="宋体" w:eastAsia="宋体" w:cs="宋体"/>
          <w:color w:val="auto"/>
        </w:rPr>
        <w:t xml:space="preserve">  运动前健康筛查</w:t>
      </w:r>
      <w:r>
        <w:rPr>
          <w:rFonts w:hint="eastAsia" w:ascii="宋体" w:hAnsi="宋体" w:eastAsia="宋体" w:cs="宋体"/>
        </w:rPr>
        <w:tab/>
      </w:r>
      <w:r>
        <w:rPr>
          <w:rFonts w:hint="eastAsia" w:ascii="宋体" w:hAnsi="宋体" w:eastAsia="宋体" w:cs="宋体"/>
          <w:lang w:val="en-US" w:eastAsia="zh-CN"/>
        </w:rPr>
        <w:t>4</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"_Toc182038354"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6.2</w:t>
      </w:r>
      <w:r>
        <w:rPr>
          <w:rStyle w:val="23"/>
          <w:rFonts w:hint="eastAsia" w:ascii="宋体" w:hAnsi="宋体" w:eastAsia="宋体" w:cs="宋体"/>
          <w:color w:val="auto"/>
        </w:rPr>
        <w:t xml:space="preserve">  运动处方开具</w:t>
      </w:r>
      <w:r>
        <w:rPr>
          <w:rFonts w:hint="eastAsia" w:ascii="宋体" w:hAnsi="宋体" w:eastAsia="宋体" w:cs="宋体"/>
        </w:rPr>
        <w:tab/>
      </w:r>
      <w:r>
        <w:rPr>
          <w:rFonts w:hint="eastAsia" w:ascii="宋体" w:hAnsi="宋体" w:eastAsia="宋体" w:cs="宋体"/>
          <w:lang w:val="en-US" w:eastAsia="zh-CN"/>
        </w:rPr>
        <w:t>4</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"_Toc182038355"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6.3</w:t>
      </w:r>
      <w:r>
        <w:rPr>
          <w:rStyle w:val="23"/>
          <w:rFonts w:hint="eastAsia" w:ascii="宋体" w:hAnsi="宋体" w:eastAsia="宋体" w:cs="宋体"/>
          <w:color w:val="auto"/>
        </w:rPr>
        <w:t xml:space="preserve">  科学健身指导</w:t>
      </w:r>
      <w:r>
        <w:rPr>
          <w:rFonts w:hint="eastAsia" w:ascii="宋体" w:hAnsi="宋体" w:eastAsia="宋体" w:cs="宋体"/>
        </w:rPr>
        <w:tab/>
      </w:r>
      <w:r>
        <w:rPr>
          <w:rFonts w:hint="eastAsia" w:ascii="宋体" w:hAnsi="宋体" w:eastAsia="宋体" w:cs="宋体"/>
          <w:lang w:val="en-US" w:eastAsia="zh-CN"/>
        </w:rPr>
        <w:t>5</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"_Toc182038356"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6.4</w:t>
      </w:r>
      <w:r>
        <w:rPr>
          <w:rStyle w:val="23"/>
          <w:rFonts w:hint="eastAsia" w:ascii="宋体" w:hAnsi="宋体" w:eastAsia="宋体" w:cs="宋体"/>
          <w:color w:val="auto"/>
        </w:rPr>
        <w:t xml:space="preserve">  运动康复训练</w:t>
      </w:r>
      <w:r>
        <w:rPr>
          <w:rFonts w:hint="eastAsia" w:ascii="宋体" w:hAnsi="宋体" w:eastAsia="宋体" w:cs="宋体"/>
        </w:rPr>
        <w:tab/>
      </w:r>
      <w:r>
        <w:rPr>
          <w:rFonts w:hint="eastAsia" w:ascii="宋体" w:hAnsi="宋体" w:eastAsia="宋体" w:cs="宋体"/>
          <w:lang w:val="en-US" w:eastAsia="zh-CN"/>
        </w:rPr>
        <w:t>5</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"_Toc182038357"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6.5</w:t>
      </w:r>
      <w:r>
        <w:rPr>
          <w:rStyle w:val="23"/>
          <w:rFonts w:hint="eastAsia" w:ascii="宋体" w:hAnsi="宋体" w:eastAsia="宋体" w:cs="宋体"/>
          <w:color w:val="auto"/>
        </w:rPr>
        <w:t xml:space="preserve">  科学健身知识宣讲</w:t>
      </w:r>
      <w:r>
        <w:rPr>
          <w:rFonts w:hint="eastAsia" w:ascii="宋体" w:hAnsi="宋体" w:eastAsia="宋体" w:cs="宋体"/>
        </w:rPr>
        <w:tab/>
      </w:r>
      <w:r>
        <w:rPr>
          <w:rFonts w:hint="eastAsia" w:ascii="宋体" w:hAnsi="宋体" w:eastAsia="宋体" w:cs="宋体"/>
          <w:lang w:val="en-US" w:eastAsia="zh-CN"/>
        </w:rPr>
        <w:t>5</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"_Toc182038358"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6.6</w:t>
      </w:r>
      <w:r>
        <w:rPr>
          <w:rStyle w:val="23"/>
          <w:rFonts w:hint="eastAsia" w:ascii="宋体" w:hAnsi="宋体" w:eastAsia="宋体" w:cs="宋体"/>
          <w:color w:val="auto"/>
        </w:rPr>
        <w:t xml:space="preserve">  体育赛事活动保障</w:t>
      </w:r>
      <w:r>
        <w:rPr>
          <w:rFonts w:hint="eastAsia" w:ascii="宋体" w:hAnsi="宋体" w:eastAsia="宋体" w:cs="宋体"/>
        </w:rPr>
        <w:tab/>
      </w:r>
      <w:r>
        <w:rPr>
          <w:rFonts w:hint="eastAsia" w:ascii="宋体" w:hAnsi="宋体" w:eastAsia="宋体" w:cs="宋体"/>
          <w:lang w:val="en-US" w:eastAsia="zh-CN"/>
        </w:rPr>
        <w:t>5</w:t>
      </w:r>
      <w:r>
        <w:rPr>
          <w:rFonts w:hint="eastAsia" w:ascii="宋体" w:hAnsi="宋体" w:eastAsia="宋体" w:cs="宋体"/>
        </w:rPr>
        <w:fldChar w:fldCharType="end"/>
      </w:r>
    </w:p>
    <w:p>
      <w:pPr>
        <w:pStyle w:val="15"/>
        <w:tabs>
          <w:tab w:val="right" w:leader="dot"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"_Toc182038362" </w:instrText>
      </w:r>
      <w:r>
        <w:rPr>
          <w:rFonts w:hint="eastAsia" w:ascii="宋体" w:hAnsi="宋体" w:eastAsia="宋体" w:cs="宋体"/>
        </w:rPr>
        <w:fldChar w:fldCharType="separate"/>
      </w:r>
      <w:r>
        <w:rPr>
          <w:rStyle w:val="23"/>
          <w:rFonts w:hint="eastAsia" w:ascii="宋体" w:hAnsi="宋体" w:eastAsia="宋体" w:cs="宋体"/>
          <w:color w:val="auto"/>
        </w:rPr>
        <w:t>7  综合管理</w:t>
      </w:r>
      <w:r>
        <w:rPr>
          <w:rFonts w:hint="eastAsia" w:ascii="宋体" w:hAnsi="宋体" w:eastAsia="宋体" w:cs="宋体"/>
        </w:rPr>
        <w:tab/>
      </w:r>
      <w:r>
        <w:rPr>
          <w:rFonts w:hint="eastAsia" w:ascii="宋体" w:hAnsi="宋体" w:eastAsia="宋体" w:cs="宋体"/>
          <w:lang w:val="en-US" w:eastAsia="zh-CN"/>
        </w:rPr>
        <w:t>5</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"_Toc182038363"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7.1</w:t>
      </w:r>
      <w:r>
        <w:rPr>
          <w:rStyle w:val="23"/>
          <w:rFonts w:hint="eastAsia" w:ascii="宋体" w:hAnsi="宋体" w:eastAsia="宋体" w:cs="宋体"/>
          <w:color w:val="auto"/>
        </w:rPr>
        <w:t xml:space="preserve">  设施设备管理</w:t>
      </w:r>
      <w:r>
        <w:rPr>
          <w:rFonts w:hint="eastAsia" w:ascii="宋体" w:hAnsi="宋体" w:eastAsia="宋体" w:cs="宋体"/>
        </w:rPr>
        <w:tab/>
      </w:r>
      <w:r>
        <w:rPr>
          <w:rFonts w:hint="eastAsia" w:ascii="宋体" w:hAnsi="宋体" w:eastAsia="宋体" w:cs="宋体"/>
          <w:lang w:val="en-US" w:eastAsia="zh-CN"/>
        </w:rPr>
        <w:t>6</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"_Toc182038364"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7.2</w:t>
      </w:r>
      <w:r>
        <w:rPr>
          <w:rStyle w:val="23"/>
          <w:rFonts w:hint="eastAsia" w:ascii="宋体" w:hAnsi="宋体" w:eastAsia="宋体" w:cs="宋体"/>
          <w:color w:val="auto"/>
        </w:rPr>
        <w:t xml:space="preserve">  安全应急管理</w:t>
      </w:r>
      <w:r>
        <w:rPr>
          <w:rFonts w:hint="eastAsia" w:ascii="宋体" w:hAnsi="宋体" w:eastAsia="宋体" w:cs="宋体"/>
        </w:rPr>
        <w:tab/>
      </w:r>
      <w:r>
        <w:rPr>
          <w:rFonts w:hint="eastAsia" w:ascii="宋体" w:hAnsi="宋体" w:eastAsia="宋体" w:cs="宋体"/>
          <w:lang w:val="en-US" w:eastAsia="zh-CN"/>
        </w:rPr>
        <w:t>6</w:t>
      </w:r>
      <w:r>
        <w:rPr>
          <w:rFonts w:hint="eastAsia" w:ascii="宋体" w:hAnsi="宋体" w:eastAsia="宋体" w:cs="宋体"/>
        </w:rPr>
        <w:fldChar w:fldCharType="end"/>
      </w:r>
    </w:p>
    <w:p>
      <w:pPr>
        <w:pStyle w:val="17"/>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"_Toc182038367" </w:instrText>
      </w:r>
      <w:r>
        <w:rPr>
          <w:rFonts w:hint="eastAsia" w:ascii="宋体" w:hAnsi="宋体" w:eastAsia="宋体" w:cs="宋体"/>
        </w:rPr>
        <w:fldChar w:fldCharType="separate"/>
      </w:r>
      <w:r>
        <w:rPr>
          <w:rStyle w:val="23"/>
          <w:rFonts w:hint="eastAsia" w:ascii="宋体" w:hAnsi="宋体" w:eastAsia="宋体" w:cs="宋体"/>
          <w:color w:val="auto"/>
          <w14:scene3d>
            <w14:lightRig w14:rig="threePt" w14:dir="t">
              <w14:rot w14:lat="0" w14:lon="0" w14:rev="0"/>
            </w14:lightRig>
          </w14:scene3d>
        </w:rPr>
        <w:t>7.3</w:t>
      </w:r>
      <w:r>
        <w:rPr>
          <w:rStyle w:val="23"/>
          <w:rFonts w:hint="eastAsia" w:ascii="宋体" w:hAnsi="宋体" w:eastAsia="宋体" w:cs="宋体"/>
          <w:color w:val="auto"/>
        </w:rPr>
        <w:t xml:space="preserve">  信息档案管理</w:t>
      </w:r>
      <w:r>
        <w:rPr>
          <w:rFonts w:hint="eastAsia" w:ascii="宋体" w:hAnsi="宋体" w:eastAsia="宋体" w:cs="宋体"/>
        </w:rPr>
        <w:tab/>
      </w:r>
      <w:r>
        <w:rPr>
          <w:rFonts w:hint="eastAsia" w:ascii="宋体" w:hAnsi="宋体" w:eastAsia="宋体" w:cs="宋体"/>
          <w:lang w:val="en-US" w:eastAsia="zh-CN"/>
        </w:rPr>
        <w:t>6</w:t>
      </w:r>
      <w:r>
        <w:rPr>
          <w:rFonts w:hint="eastAsia" w:ascii="宋体" w:hAnsi="宋体" w:eastAsia="宋体" w:cs="宋体"/>
        </w:rPr>
        <w:fldChar w:fldCharType="end"/>
      </w:r>
    </w:p>
    <w:p>
      <w:pPr>
        <w:pStyle w:val="15"/>
        <w:tabs>
          <w:tab w:val="right" w:leader="dot"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"_Toc182038368" </w:instrText>
      </w:r>
      <w:r>
        <w:rPr>
          <w:rFonts w:hint="eastAsia" w:ascii="宋体" w:hAnsi="宋体" w:eastAsia="宋体" w:cs="宋体"/>
        </w:rPr>
        <w:fldChar w:fldCharType="separate"/>
      </w:r>
      <w:r>
        <w:rPr>
          <w:rStyle w:val="23"/>
          <w:rFonts w:hint="eastAsia" w:ascii="宋体" w:hAnsi="宋体" w:eastAsia="宋体" w:cs="宋体"/>
          <w:color w:val="auto"/>
        </w:rPr>
        <w:t>8  评价与改进</w:t>
      </w:r>
      <w:r>
        <w:rPr>
          <w:rFonts w:hint="eastAsia" w:ascii="宋体" w:hAnsi="宋体" w:eastAsia="宋体" w:cs="宋体"/>
        </w:rPr>
        <w:tab/>
      </w:r>
      <w:r>
        <w:rPr>
          <w:rFonts w:hint="eastAsia" w:ascii="宋体" w:hAnsi="宋体" w:eastAsia="宋体" w:cs="宋体"/>
          <w:lang w:val="en-US" w:eastAsia="zh-CN"/>
        </w:rPr>
        <w:t>7</w:t>
      </w:r>
      <w:r>
        <w:rPr>
          <w:rFonts w:hint="eastAsia" w:ascii="宋体" w:hAnsi="宋体" w:eastAsia="宋体" w:cs="宋体"/>
        </w:rPr>
        <w:fldChar w:fldCharType="end"/>
      </w:r>
    </w:p>
    <w:p>
      <w:pPr>
        <w:pStyle w:val="15"/>
        <w:tabs>
          <w:tab w:val="right" w:leader="dot" w:pos="934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"_Toc182038369" </w:instrText>
      </w:r>
      <w:r>
        <w:rPr>
          <w:rFonts w:hint="eastAsia" w:ascii="宋体" w:hAnsi="宋体" w:eastAsia="宋体" w:cs="宋体"/>
        </w:rPr>
        <w:fldChar w:fldCharType="separate"/>
      </w:r>
      <w:r>
        <w:rPr>
          <w:rStyle w:val="23"/>
          <w:rFonts w:hint="eastAsia" w:ascii="宋体" w:hAnsi="宋体" w:eastAsia="宋体" w:cs="宋体"/>
          <w:color w:val="auto"/>
        </w:rPr>
        <w:t>附录A（资料性）  运动促进健康中心运营服务分级内容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_Toc182038369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rPr>
        <w:fldChar w:fldCharType="end"/>
      </w:r>
    </w:p>
    <w:p>
      <w:pPr>
        <w:pStyle w:val="15"/>
        <w:tabs>
          <w:tab w:val="right" w:leader="dot" w:pos="9344"/>
        </w:tabs>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"_Toc182038369" </w:instrText>
      </w:r>
      <w:r>
        <w:rPr>
          <w:rFonts w:hint="eastAsia" w:ascii="宋体" w:hAnsi="宋体" w:eastAsia="宋体" w:cs="宋体"/>
        </w:rPr>
        <w:fldChar w:fldCharType="separate"/>
      </w:r>
      <w:r>
        <w:rPr>
          <w:rStyle w:val="23"/>
          <w:rFonts w:hint="eastAsia" w:ascii="宋体" w:hAnsi="宋体" w:eastAsia="宋体" w:cs="宋体"/>
          <w:color w:val="auto"/>
        </w:rPr>
        <w:t>附录B（资料性）  调查问卷</w:t>
      </w:r>
      <w:r>
        <w:rPr>
          <w:rFonts w:hint="eastAsia" w:ascii="宋体" w:hAnsi="宋体" w:eastAsia="宋体" w:cs="宋体"/>
        </w:rPr>
        <w:tab/>
      </w:r>
      <w:r>
        <w:rPr>
          <w:rFonts w:hint="eastAsia" w:ascii="宋体" w:hAnsi="宋体" w:eastAsia="宋体" w:cs="宋体"/>
          <w:lang w:val="en-US" w:eastAsia="zh-CN"/>
        </w:rPr>
        <w:t>1</w:t>
      </w:r>
      <w:r>
        <w:rPr>
          <w:rFonts w:hint="eastAsia" w:ascii="宋体" w:hAnsi="宋体" w:eastAsia="宋体" w:cs="宋体"/>
        </w:rPr>
        <w:fldChar w:fldCharType="end"/>
      </w:r>
      <w:r>
        <w:rPr>
          <w:rFonts w:hint="eastAsia" w:ascii="宋体" w:hAnsi="宋体" w:eastAsia="宋体" w:cs="宋体"/>
          <w:lang w:val="en-US" w:eastAsia="zh-CN"/>
        </w:rPr>
        <w:t>1</w:t>
      </w:r>
    </w:p>
    <w:p>
      <w:pPr>
        <w:pStyle w:val="15"/>
        <w:tabs>
          <w:tab w:val="right" w:leader="dot" w:pos="9344"/>
        </w:tabs>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"_Toc182038369" </w:instrText>
      </w:r>
      <w:r>
        <w:rPr>
          <w:rFonts w:hint="eastAsia" w:ascii="宋体" w:hAnsi="宋体" w:eastAsia="宋体" w:cs="宋体"/>
        </w:rPr>
        <w:fldChar w:fldCharType="separate"/>
      </w:r>
      <w:r>
        <w:rPr>
          <w:rStyle w:val="23"/>
          <w:rFonts w:hint="eastAsia" w:ascii="宋体" w:hAnsi="宋体" w:eastAsia="宋体" w:cs="宋体"/>
          <w:color w:val="auto"/>
        </w:rPr>
        <w:t>附录C（资料性）  知情同意书</w:t>
      </w:r>
      <w:r>
        <w:rPr>
          <w:rFonts w:hint="eastAsia" w:ascii="宋体" w:hAnsi="宋体" w:eastAsia="宋体" w:cs="宋体"/>
        </w:rPr>
        <w:tab/>
      </w:r>
      <w:r>
        <w:rPr>
          <w:rFonts w:hint="eastAsia" w:ascii="宋体" w:hAnsi="宋体" w:eastAsia="宋体" w:cs="宋体"/>
          <w:lang w:val="en-US" w:eastAsia="zh-CN"/>
        </w:rPr>
        <w:t>1</w:t>
      </w:r>
      <w:r>
        <w:rPr>
          <w:rFonts w:hint="eastAsia" w:ascii="宋体" w:hAnsi="宋体" w:eastAsia="宋体" w:cs="宋体"/>
        </w:rPr>
        <w:fldChar w:fldCharType="end"/>
      </w:r>
      <w:r>
        <w:rPr>
          <w:rFonts w:hint="eastAsia" w:ascii="宋体" w:hAnsi="宋体" w:eastAsia="宋体" w:cs="宋体"/>
          <w:lang w:val="en-US" w:eastAsia="zh-CN"/>
        </w:rPr>
        <w:t>2</w:t>
      </w:r>
    </w:p>
    <w:p/>
    <w:p>
      <w:pPr>
        <w:snapToGrid w:val="0"/>
        <w:jc w:val="left"/>
        <w:rPr>
          <w:rFonts w:ascii="宋体" w:hAnsi="宋体" w:eastAsia="宋体" w:cs="宋体"/>
          <w:szCs w:val="21"/>
        </w:rPr>
        <w:sectPr>
          <w:headerReference r:id="rId3" w:type="default"/>
          <w:footerReference r:id="rId5" w:type="default"/>
          <w:headerReference r:id="rId4" w:type="even"/>
          <w:footerReference r:id="rId6" w:type="even"/>
          <w:pgSz w:w="11906" w:h="16838"/>
          <w:pgMar w:top="1417" w:right="1134" w:bottom="1134" w:left="1418" w:header="1417" w:footer="1134" w:gutter="0"/>
          <w:pgNumType w:fmt="upperRoman" w:start="1"/>
          <w:cols w:space="425" w:num="1"/>
          <w:docGrid w:type="lines" w:linePitch="312" w:charSpace="0"/>
        </w:sectPr>
      </w:pPr>
      <w:r>
        <w:rPr>
          <w:rFonts w:hint="eastAsia" w:ascii="宋体" w:hAnsi="宋体" w:eastAsia="宋体" w:cs="宋体"/>
          <w:szCs w:val="21"/>
        </w:rPr>
        <w:fldChar w:fldCharType="end"/>
      </w:r>
    </w:p>
    <w:p>
      <w:pPr>
        <w:pStyle w:val="2"/>
        <w:rPr>
          <w:rFonts w:ascii="宋体" w:hAnsi="宋体" w:eastAsia="宋体" w:cs="宋体"/>
          <w:szCs w:val="21"/>
        </w:rPr>
      </w:pPr>
    </w:p>
    <w:p>
      <w:pPr>
        <w:pStyle w:val="49"/>
        <w:shd w:val="clear" w:color="auto" w:fill="auto"/>
        <w:spacing w:before="567" w:after="680" w:afterLines="0"/>
        <w:rPr>
          <w:spacing w:val="320"/>
        </w:rPr>
        <w:sectPr>
          <w:headerReference r:id="rId7" w:type="default"/>
          <w:footerReference r:id="rId9" w:type="default"/>
          <w:headerReference r:id="rId8" w:type="even"/>
          <w:footerReference r:id="rId10" w:type="even"/>
          <w:pgSz w:w="11906" w:h="16838"/>
          <w:pgMar w:top="1417" w:right="1134" w:bottom="1134" w:left="1418" w:header="1417" w:footer="1134" w:gutter="0"/>
          <w:pgNumType w:fmt="upperRoman" w:start="1"/>
          <w:cols w:space="425" w:num="1"/>
          <w:docGrid w:type="lines" w:linePitch="312" w:charSpace="0"/>
        </w:sectPr>
      </w:pPr>
    </w:p>
    <w:p>
      <w:pPr>
        <w:snapToGrid w:val="0"/>
        <w:spacing w:before="567" w:after="680"/>
        <w:jc w:val="center"/>
        <w:outlineLvl w:val="0"/>
        <w:rPr>
          <w:rFonts w:ascii="黑体" w:hAnsi="黑体" w:eastAsia="黑体" w:cs="黑体"/>
          <w:kern w:val="0"/>
          <w:sz w:val="32"/>
          <w:szCs w:val="32"/>
        </w:rPr>
      </w:pPr>
      <w:bookmarkStart w:id="2" w:name="_Toc182038334"/>
      <w:r>
        <w:rPr>
          <w:rFonts w:hint="eastAsia" w:ascii="黑体" w:hAnsi="黑体" w:eastAsia="黑体" w:cs="黑体"/>
          <w:kern w:val="0"/>
          <w:sz w:val="32"/>
          <w:szCs w:val="32"/>
        </w:rPr>
        <w:t>前    言</w:t>
      </w:r>
      <w:bookmarkEnd w:id="2"/>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本文件按照</w:t>
      </w:r>
      <w:r>
        <w:rPr>
          <w:rFonts w:ascii="宋体" w:hAnsi="宋体" w:eastAsia="宋体" w:cs="宋体"/>
          <w:kern w:val="0"/>
          <w:szCs w:val="21"/>
        </w:rPr>
        <w:t>GB</w:t>
      </w:r>
      <w:r>
        <w:rPr>
          <w:rFonts w:hint="eastAsia" w:ascii="宋体" w:hAnsi="宋体" w:eastAsia="宋体" w:cs="宋体"/>
          <w:kern w:val="0"/>
          <w:szCs w:val="21"/>
        </w:rPr>
        <w:t>/</w:t>
      </w:r>
      <w:r>
        <w:rPr>
          <w:rFonts w:ascii="宋体" w:hAnsi="宋体" w:eastAsia="宋体" w:cs="宋体"/>
          <w:kern w:val="0"/>
          <w:szCs w:val="21"/>
        </w:rPr>
        <w:t>T</w:t>
      </w:r>
      <w:r>
        <w:rPr>
          <w:rFonts w:hint="eastAsia" w:ascii="宋体" w:hAnsi="宋体" w:eastAsia="宋体" w:cs="宋体"/>
          <w:kern w:val="0"/>
          <w:szCs w:val="21"/>
        </w:rPr>
        <w:t xml:space="preserve"> </w:t>
      </w:r>
      <w:r>
        <w:rPr>
          <w:rFonts w:ascii="宋体" w:hAnsi="宋体" w:eastAsia="宋体" w:cs="宋体"/>
          <w:kern w:val="0"/>
          <w:szCs w:val="21"/>
        </w:rPr>
        <w:t>1.1—2020</w:t>
      </w:r>
      <w:r>
        <w:rPr>
          <w:rFonts w:hint="eastAsia" w:ascii="宋体" w:hAnsi="宋体" w:eastAsia="宋体" w:cs="宋体"/>
          <w:kern w:val="0"/>
          <w:szCs w:val="21"/>
        </w:rPr>
        <w:t>《标准</w:t>
      </w:r>
      <w:r>
        <w:rPr>
          <w:rFonts w:ascii="宋体" w:hAnsi="宋体" w:eastAsia="宋体" w:cs="宋体"/>
          <w:kern w:val="0"/>
          <w:szCs w:val="21"/>
        </w:rPr>
        <w:t>化工作导则</w:t>
      </w:r>
      <w:r>
        <w:rPr>
          <w:rFonts w:hint="eastAsia" w:ascii="宋体" w:hAnsi="宋体" w:eastAsia="宋体" w:cs="宋体"/>
          <w:kern w:val="0"/>
          <w:szCs w:val="21"/>
        </w:rPr>
        <w:t xml:space="preserve">  第1部分：</w:t>
      </w:r>
      <w:r>
        <w:rPr>
          <w:rFonts w:ascii="宋体" w:hAnsi="宋体" w:eastAsia="宋体" w:cs="宋体"/>
          <w:kern w:val="0"/>
          <w:szCs w:val="21"/>
        </w:rPr>
        <w:t>标准化文件的</w:t>
      </w:r>
      <w:r>
        <w:rPr>
          <w:rFonts w:hint="eastAsia" w:ascii="宋体" w:hAnsi="宋体" w:eastAsia="宋体" w:cs="宋体"/>
          <w:kern w:val="0"/>
          <w:szCs w:val="21"/>
        </w:rPr>
        <w:t>结构</w:t>
      </w:r>
      <w:r>
        <w:rPr>
          <w:rFonts w:ascii="宋体" w:hAnsi="宋体" w:eastAsia="宋体" w:cs="宋体"/>
          <w:kern w:val="0"/>
          <w:szCs w:val="21"/>
        </w:rPr>
        <w:t>和起草规则</w:t>
      </w:r>
      <w:r>
        <w:rPr>
          <w:rFonts w:hint="eastAsia" w:ascii="宋体" w:hAnsi="宋体" w:eastAsia="宋体" w:cs="宋体"/>
          <w:kern w:val="0"/>
          <w:szCs w:val="21"/>
        </w:rPr>
        <w:t>》的</w:t>
      </w:r>
      <w:r>
        <w:rPr>
          <w:rFonts w:ascii="宋体" w:hAnsi="宋体" w:eastAsia="宋体" w:cs="宋体"/>
          <w:kern w:val="0"/>
          <w:szCs w:val="21"/>
        </w:rPr>
        <w:t>规定</w:t>
      </w:r>
      <w:r>
        <w:rPr>
          <w:rFonts w:hint="eastAsia" w:ascii="宋体" w:hAnsi="宋体" w:eastAsia="宋体" w:cs="宋体"/>
          <w:kern w:val="0"/>
          <w:szCs w:val="21"/>
        </w:rPr>
        <w:t>起草。</w:t>
      </w:r>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请注意本文件</w:t>
      </w:r>
      <w:r>
        <w:rPr>
          <w:rFonts w:ascii="宋体" w:hAnsi="宋体" w:eastAsia="宋体" w:cs="宋体"/>
          <w:kern w:val="0"/>
          <w:szCs w:val="21"/>
        </w:rPr>
        <w:t>的某些内容可能涉及专利</w:t>
      </w:r>
      <w:r>
        <w:rPr>
          <w:rFonts w:hint="eastAsia" w:ascii="宋体" w:hAnsi="宋体" w:eastAsia="宋体" w:cs="宋体"/>
          <w:kern w:val="0"/>
          <w:szCs w:val="21"/>
        </w:rPr>
        <w:t>。</w:t>
      </w:r>
      <w:r>
        <w:rPr>
          <w:rFonts w:ascii="宋体" w:hAnsi="宋体" w:eastAsia="宋体" w:cs="宋体"/>
          <w:kern w:val="0"/>
          <w:szCs w:val="21"/>
        </w:rPr>
        <w:t>本文件的</w:t>
      </w:r>
      <w:r>
        <w:rPr>
          <w:rFonts w:hint="eastAsia" w:ascii="宋体" w:hAnsi="宋体" w:eastAsia="宋体" w:cs="宋体"/>
          <w:kern w:val="0"/>
          <w:szCs w:val="21"/>
        </w:rPr>
        <w:t>发布</w:t>
      </w:r>
      <w:r>
        <w:rPr>
          <w:rFonts w:ascii="宋体" w:hAnsi="宋体" w:eastAsia="宋体" w:cs="宋体"/>
          <w:kern w:val="0"/>
          <w:szCs w:val="21"/>
        </w:rPr>
        <w:t>机构不承担识别专利的责任。</w:t>
      </w:r>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本文件由苏州市体育局提出</w:t>
      </w:r>
      <w:r>
        <w:rPr>
          <w:rFonts w:hint="eastAsia" w:ascii="宋体" w:hAnsi="宋体" w:eastAsia="宋体" w:cs="宋体"/>
          <w:kern w:val="0"/>
          <w:szCs w:val="21"/>
          <w:lang w:eastAsia="zh-CN"/>
        </w:rPr>
        <w:t>、</w:t>
      </w:r>
      <w:r>
        <w:rPr>
          <w:rFonts w:hint="eastAsia" w:ascii="宋体" w:hAnsi="宋体" w:eastAsia="宋体" w:cs="宋体"/>
          <w:kern w:val="0"/>
          <w:szCs w:val="21"/>
        </w:rPr>
        <w:t>归口并组织实施。</w:t>
      </w:r>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本文件起草单位：苏州市体育局、苏州市市民健身中心、苏州市妇女儿童活动中心、苏州大学体育学院、姑苏区教育体育和文化旅游委员会、苏州工业园区新时代市民中心管理有限公司。</w:t>
      </w:r>
    </w:p>
    <w:p>
      <w:pPr>
        <w:snapToGrid w:val="0"/>
        <w:ind w:firstLine="420" w:firstLineChars="200"/>
        <w:rPr>
          <w:rFonts w:ascii="宋体" w:hAnsi="宋体" w:eastAsia="宋体" w:cs="宋体"/>
          <w:kern w:val="0"/>
          <w:szCs w:val="21"/>
        </w:rPr>
      </w:pPr>
      <w:r>
        <w:rPr>
          <w:rFonts w:hint="eastAsia" w:ascii="宋体" w:hAnsi="宋体" w:eastAsia="宋体" w:cs="宋体"/>
          <w:kern w:val="0"/>
          <w:szCs w:val="21"/>
        </w:rPr>
        <w:t>本文件主要起草人：李志国、张茜、王虎、陈丽、陈娟、张庆、赵文、李思思、邢琛、金怡、孙小玲、胡冠宇。</w:t>
      </w:r>
    </w:p>
    <w:p>
      <w:pPr>
        <w:pStyle w:val="2"/>
        <w:sectPr>
          <w:footerReference r:id="rId12" w:type="default"/>
          <w:headerReference r:id="rId11" w:type="even"/>
          <w:footerReference r:id="rId13" w:type="even"/>
          <w:pgSz w:w="11906" w:h="16838"/>
          <w:pgMar w:top="1417" w:right="1134" w:bottom="1134" w:left="1418" w:header="1417" w:footer="1134" w:gutter="0"/>
          <w:pgNumType w:fmt="upperRoman" w:start="2"/>
          <w:cols w:space="425" w:num="1"/>
          <w:docGrid w:type="lines" w:linePitch="312" w:charSpace="0"/>
        </w:sectPr>
      </w:pPr>
    </w:p>
    <w:p>
      <w:pPr>
        <w:snapToGrid w:val="0"/>
        <w:ind w:firstLine="420" w:firstLineChars="200"/>
        <w:rPr>
          <w:rFonts w:ascii="宋体" w:hAnsi="宋体" w:eastAsia="宋体" w:cs="宋体"/>
          <w:kern w:val="0"/>
          <w:szCs w:val="21"/>
        </w:rPr>
        <w:sectPr>
          <w:headerReference r:id="rId14" w:type="default"/>
          <w:footerReference r:id="rId16" w:type="default"/>
          <w:headerReference r:id="rId15" w:type="even"/>
          <w:footerReference r:id="rId17" w:type="even"/>
          <w:pgSz w:w="11906" w:h="16838"/>
          <w:pgMar w:top="1417" w:right="1134" w:bottom="1134" w:left="1418" w:header="1417" w:footer="1134" w:gutter="0"/>
          <w:pgNumType w:fmt="upperRoman" w:start="2"/>
          <w:cols w:space="425" w:num="1"/>
          <w:docGrid w:type="lines" w:linePitch="312" w:charSpace="0"/>
        </w:sectPr>
      </w:pPr>
    </w:p>
    <w:p>
      <w:pPr>
        <w:widowControl/>
        <w:spacing w:before="567" w:after="680"/>
        <w:jc w:val="center"/>
        <w:rPr>
          <w:rFonts w:hint="default" w:ascii="黑体" w:hAnsi="黑体" w:eastAsia="黑体"/>
          <w:bCs/>
          <w:sz w:val="32"/>
          <w:szCs w:val="32"/>
          <w:lang w:val="en-US" w:eastAsia="zh-CN"/>
        </w:rPr>
      </w:pPr>
      <w:bookmarkStart w:id="3" w:name="SectionMark4"/>
      <w:r>
        <w:rPr>
          <w:rFonts w:hint="eastAsia" w:ascii="黑体" w:hAnsi="宋体" w:eastAsia="黑体"/>
          <w:sz w:val="32"/>
          <w:szCs w:val="32"/>
        </w:rPr>
        <w:t>运动促进健康中心</w:t>
      </w:r>
      <w:r>
        <w:rPr>
          <w:rFonts w:hint="eastAsia" w:ascii="黑体" w:hAnsi="宋体" w:eastAsia="黑体"/>
          <w:sz w:val="32"/>
          <w:szCs w:val="32"/>
          <w:lang w:val="en-US" w:eastAsia="zh-CN"/>
        </w:rPr>
        <w:t>运营服务规范</w:t>
      </w:r>
    </w:p>
    <w:bookmarkEnd w:id="3"/>
    <w:p>
      <w:pPr>
        <w:pStyle w:val="66"/>
        <w:spacing w:before="312" w:after="312"/>
      </w:pPr>
      <w:bookmarkStart w:id="4" w:name="_Toc51663569"/>
      <w:bookmarkStart w:id="5" w:name="_Toc87811368"/>
      <w:bookmarkStart w:id="6" w:name="_Toc48569571"/>
      <w:bookmarkStart w:id="7" w:name="_Toc48028304"/>
      <w:bookmarkStart w:id="8" w:name="_Toc47964512"/>
      <w:bookmarkStart w:id="9" w:name="_Toc122448156"/>
      <w:bookmarkStart w:id="10" w:name="_Toc47973431"/>
      <w:bookmarkStart w:id="11" w:name="_Toc48028397"/>
      <w:bookmarkStart w:id="12" w:name="_Toc87811223"/>
      <w:bookmarkStart w:id="13" w:name="_Toc46494722"/>
      <w:bookmarkStart w:id="14" w:name="_Toc15741"/>
      <w:bookmarkStart w:id="15" w:name="_Toc10375"/>
      <w:bookmarkStart w:id="16" w:name="_Toc47973642"/>
      <w:bookmarkStart w:id="17" w:name="_Toc47964470"/>
      <w:bookmarkStart w:id="18" w:name="_Toc66965087"/>
      <w:bookmarkStart w:id="19" w:name="_Toc40454690"/>
      <w:bookmarkStart w:id="20" w:name="_Toc182038335"/>
      <w:bookmarkStart w:id="21" w:name="_Toc51147912"/>
      <w:bookmarkStart w:id="22" w:name="_Toc48049835"/>
      <w:bookmarkStart w:id="23" w:name="_Toc115339701"/>
      <w:bookmarkStart w:id="24" w:name="_Toc67401897"/>
      <w:bookmarkStart w:id="25" w:name="_Toc30515"/>
      <w:bookmarkStart w:id="26" w:name="_Toc48050151"/>
      <w:bookmarkStart w:id="27" w:name="_Toc67393169"/>
      <w:bookmarkStart w:id="28" w:name="_Toc21213"/>
      <w:bookmarkStart w:id="29" w:name="_Toc48572088"/>
      <w:r>
        <w:rPr>
          <w:rFonts w:hint="eastAsia"/>
        </w:rPr>
        <w:t>范围</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pStyle w:val="51"/>
        <w:keepNext w:val="0"/>
        <w:keepLines w:val="0"/>
        <w:pageBreakBefore w:val="0"/>
        <w:widowControl w:val="0"/>
        <w:kinsoku/>
        <w:wordWrap/>
        <w:overflowPunct/>
        <w:topLinePunct w:val="0"/>
        <w:autoSpaceDE w:val="0"/>
        <w:autoSpaceDN w:val="0"/>
        <w:bidi w:val="0"/>
        <w:adjustRightInd/>
        <w:snapToGrid/>
        <w:ind w:firstLine="420" w:firstLineChars="200"/>
        <w:jc w:val="left"/>
        <w:textAlignment w:val="auto"/>
        <w:rPr>
          <w:sz w:val="21"/>
          <w:szCs w:val="21"/>
        </w:rPr>
      </w:pPr>
      <w:r>
        <w:rPr>
          <w:rFonts w:hint="eastAsia"/>
          <w:sz w:val="21"/>
          <w:szCs w:val="21"/>
        </w:rPr>
        <w:t>本文件规定了运动促进健康中心运营服务的组织管理、服务内容与要求、服务流程、综合管理、评价与改进。</w:t>
      </w:r>
    </w:p>
    <w:p>
      <w:pPr>
        <w:pStyle w:val="51"/>
        <w:keepNext w:val="0"/>
        <w:keepLines w:val="0"/>
        <w:pageBreakBefore w:val="0"/>
        <w:widowControl w:val="0"/>
        <w:kinsoku/>
        <w:wordWrap/>
        <w:overflowPunct/>
        <w:topLinePunct w:val="0"/>
        <w:autoSpaceDE w:val="0"/>
        <w:autoSpaceDN w:val="0"/>
        <w:bidi w:val="0"/>
        <w:adjustRightInd/>
        <w:snapToGrid/>
        <w:ind w:firstLine="420" w:firstLineChars="200"/>
        <w:jc w:val="left"/>
        <w:textAlignment w:val="auto"/>
        <w:rPr>
          <w:sz w:val="21"/>
          <w:szCs w:val="21"/>
        </w:rPr>
      </w:pPr>
      <w:r>
        <w:rPr>
          <w:rFonts w:hint="eastAsia"/>
          <w:sz w:val="21"/>
          <w:szCs w:val="21"/>
        </w:rPr>
        <w:t>本文件适用于新建或改建的运动促进健康中心的运营与服务。</w:t>
      </w:r>
    </w:p>
    <w:p>
      <w:pPr>
        <w:pStyle w:val="66"/>
        <w:spacing w:before="312" w:after="312"/>
      </w:pPr>
      <w:bookmarkStart w:id="30" w:name="_Toc27351"/>
      <w:bookmarkStart w:id="31" w:name="_Toc29099"/>
      <w:bookmarkStart w:id="32" w:name="_Toc67393170"/>
      <w:bookmarkStart w:id="33" w:name="_Toc47964471"/>
      <w:bookmarkStart w:id="34" w:name="_Toc87811224"/>
      <w:bookmarkStart w:id="35" w:name="_Toc182038336"/>
      <w:bookmarkStart w:id="36" w:name="_Toc5397"/>
      <w:bookmarkStart w:id="37" w:name="_Toc47973643"/>
      <w:bookmarkStart w:id="38" w:name="_Toc115339702"/>
      <w:bookmarkStart w:id="39" w:name="_Toc48050152"/>
      <w:bookmarkStart w:id="40" w:name="_Toc48049836"/>
      <w:bookmarkStart w:id="41" w:name="_Toc51663570"/>
      <w:bookmarkStart w:id="42" w:name="_Toc48028398"/>
      <w:bookmarkStart w:id="43" w:name="_Toc122448157"/>
      <w:bookmarkStart w:id="44" w:name="_Toc66965088"/>
      <w:bookmarkStart w:id="45" w:name="_Toc51147913"/>
      <w:bookmarkStart w:id="46" w:name="_Toc48028305"/>
      <w:bookmarkStart w:id="47" w:name="_Toc87811369"/>
      <w:bookmarkStart w:id="48" w:name="_Toc40454691"/>
      <w:bookmarkStart w:id="49" w:name="_Toc47964513"/>
      <w:bookmarkStart w:id="50" w:name="_Toc46494723"/>
      <w:bookmarkStart w:id="51" w:name="_Toc48569572"/>
      <w:bookmarkStart w:id="52" w:name="_Toc47973432"/>
      <w:bookmarkStart w:id="53" w:name="_Toc48572089"/>
      <w:bookmarkStart w:id="54" w:name="_Toc27904"/>
      <w:bookmarkStart w:id="55" w:name="_Toc67401898"/>
      <w:r>
        <w:rPr>
          <w:rFonts w:hint="eastAsia"/>
        </w:rPr>
        <w:t>规范性引用文件</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pStyle w:val="51"/>
        <w:keepNext w:val="0"/>
        <w:keepLines w:val="0"/>
        <w:pageBreakBefore w:val="0"/>
        <w:widowControl w:val="0"/>
        <w:kinsoku/>
        <w:wordWrap/>
        <w:overflowPunct/>
        <w:topLinePunct w:val="0"/>
        <w:autoSpaceDE w:val="0"/>
        <w:autoSpaceDN w:val="0"/>
        <w:bidi w:val="0"/>
        <w:adjustRightInd/>
        <w:snapToGrid/>
        <w:ind w:firstLine="420" w:firstLineChars="200"/>
        <w:jc w:val="left"/>
        <w:textAlignment w:val="auto"/>
        <w:rPr>
          <w:rFonts w:hint="eastAsia"/>
          <w:sz w:val="21"/>
          <w:szCs w:val="21"/>
        </w:rPr>
      </w:pPr>
      <w:r>
        <w:rPr>
          <w:rFonts w:hint="eastAsia"/>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1"/>
        <w:keepNext w:val="0"/>
        <w:keepLines w:val="0"/>
        <w:pageBreakBefore w:val="0"/>
        <w:widowControl w:val="0"/>
        <w:kinsoku/>
        <w:wordWrap/>
        <w:overflowPunct/>
        <w:topLinePunct w:val="0"/>
        <w:autoSpaceDE w:val="0"/>
        <w:autoSpaceDN w:val="0"/>
        <w:bidi w:val="0"/>
        <w:adjustRightInd/>
        <w:snapToGrid/>
        <w:ind w:firstLine="420" w:firstLineChars="200"/>
        <w:jc w:val="left"/>
        <w:textAlignment w:val="auto"/>
        <w:rPr>
          <w:rFonts w:hint="eastAsia"/>
          <w:sz w:val="21"/>
          <w:szCs w:val="21"/>
        </w:rPr>
      </w:pPr>
      <w:r>
        <w:rPr>
          <w:rFonts w:hint="eastAsia"/>
          <w:sz w:val="21"/>
          <w:szCs w:val="21"/>
        </w:rPr>
        <w:t>GB/T 34285  健身运动安全指南</w:t>
      </w:r>
    </w:p>
    <w:p>
      <w:pPr>
        <w:pStyle w:val="51"/>
        <w:keepNext w:val="0"/>
        <w:keepLines w:val="0"/>
        <w:pageBreakBefore w:val="0"/>
        <w:widowControl w:val="0"/>
        <w:kinsoku/>
        <w:wordWrap/>
        <w:overflowPunct/>
        <w:topLinePunct w:val="0"/>
        <w:autoSpaceDE w:val="0"/>
        <w:autoSpaceDN w:val="0"/>
        <w:bidi w:val="0"/>
        <w:adjustRightInd/>
        <w:snapToGrid/>
        <w:ind w:firstLine="420" w:firstLineChars="200"/>
        <w:jc w:val="left"/>
        <w:textAlignment w:val="auto"/>
        <w:rPr>
          <w:rFonts w:hint="eastAsia"/>
          <w:sz w:val="21"/>
          <w:szCs w:val="21"/>
        </w:rPr>
      </w:pPr>
      <w:r>
        <w:rPr>
          <w:rFonts w:hint="eastAsia"/>
          <w:sz w:val="21"/>
          <w:szCs w:val="21"/>
        </w:rPr>
        <w:t>DB3205/T XXXX  运动促进健康中心建设指南</w:t>
      </w:r>
    </w:p>
    <w:p>
      <w:pPr>
        <w:pStyle w:val="66"/>
        <w:spacing w:before="312" w:after="312"/>
        <w:rPr>
          <w:szCs w:val="21"/>
        </w:rPr>
      </w:pPr>
      <w:bookmarkStart w:id="56" w:name="_Toc67393171"/>
      <w:bookmarkStart w:id="57" w:name="_Toc87811370"/>
      <w:bookmarkStart w:id="58" w:name="_Toc87811225"/>
      <w:bookmarkStart w:id="59" w:name="_Toc115339703"/>
      <w:bookmarkStart w:id="60" w:name="_Toc122448158"/>
      <w:bookmarkStart w:id="61" w:name="_Toc182038337"/>
      <w:bookmarkStart w:id="62" w:name="_Toc67401899"/>
      <w:r>
        <w:rPr>
          <w:rFonts w:hint="eastAsia"/>
          <w:szCs w:val="21"/>
        </w:rPr>
        <w:t>术语和定义</w:t>
      </w:r>
      <w:bookmarkEnd w:id="56"/>
      <w:bookmarkEnd w:id="57"/>
      <w:bookmarkEnd w:id="58"/>
      <w:bookmarkEnd w:id="59"/>
      <w:bookmarkEnd w:id="60"/>
      <w:bookmarkEnd w:id="61"/>
      <w:bookmarkEnd w:id="62"/>
    </w:p>
    <w:p>
      <w:pPr>
        <w:pStyle w:val="51"/>
        <w:keepNext w:val="0"/>
        <w:keepLines w:val="0"/>
        <w:pageBreakBefore w:val="0"/>
        <w:widowControl w:val="0"/>
        <w:kinsoku/>
        <w:wordWrap/>
        <w:overflowPunct/>
        <w:topLinePunct w:val="0"/>
        <w:autoSpaceDE w:val="0"/>
        <w:autoSpaceDN w:val="0"/>
        <w:bidi w:val="0"/>
        <w:adjustRightInd/>
        <w:snapToGrid/>
        <w:ind w:firstLine="420" w:firstLineChars="200"/>
        <w:jc w:val="left"/>
        <w:textAlignment w:val="auto"/>
        <w:rPr>
          <w:rFonts w:hint="eastAsia"/>
          <w:sz w:val="21"/>
          <w:szCs w:val="21"/>
        </w:rPr>
      </w:pPr>
      <w:r>
        <w:rPr>
          <w:rFonts w:hint="eastAsia"/>
          <w:sz w:val="21"/>
          <w:szCs w:val="21"/>
          <w:lang w:val="en-US" w:eastAsia="zh-CN"/>
        </w:rPr>
        <w:t>下列</w:t>
      </w:r>
      <w:r>
        <w:rPr>
          <w:rFonts w:hint="eastAsia"/>
          <w:sz w:val="21"/>
          <w:szCs w:val="21"/>
        </w:rPr>
        <w:t>术语和定义适用于本文件。</w:t>
      </w:r>
    </w:p>
    <w:p>
      <w:pPr>
        <w:pStyle w:val="63"/>
        <w:ind w:left="420" w:hanging="420" w:hangingChars="200"/>
        <w:rPr>
          <w:rFonts w:ascii="黑体" w:hAnsi="黑体" w:eastAsia="黑体"/>
        </w:rPr>
      </w:pPr>
    </w:p>
    <w:p>
      <w:pPr>
        <w:pStyle w:val="63"/>
        <w:numPr>
          <w:ilvl w:val="0"/>
          <w:numId w:val="0"/>
        </w:numPr>
        <w:ind w:left="420"/>
        <w:rPr>
          <w:rFonts w:ascii="黑体" w:hAnsi="黑体" w:eastAsia="黑体"/>
        </w:rPr>
      </w:pPr>
      <w:r>
        <w:rPr>
          <w:rFonts w:hint="eastAsia" w:ascii="黑体" w:hAnsi="黑体" w:eastAsia="黑体"/>
        </w:rPr>
        <w:t xml:space="preserve">运动促进健康中心  </w:t>
      </w:r>
      <w:r>
        <w:rPr>
          <w:rFonts w:ascii="黑体" w:hAnsi="黑体" w:eastAsia="黑体"/>
        </w:rPr>
        <w:t>exercise promotes health centers</w:t>
      </w:r>
    </w:p>
    <w:p>
      <w:pPr>
        <w:pStyle w:val="51"/>
        <w:keepNext w:val="0"/>
        <w:keepLines w:val="0"/>
        <w:pageBreakBefore w:val="0"/>
        <w:widowControl w:val="0"/>
        <w:kinsoku/>
        <w:wordWrap/>
        <w:overflowPunct/>
        <w:topLinePunct w:val="0"/>
        <w:autoSpaceDE w:val="0"/>
        <w:autoSpaceDN w:val="0"/>
        <w:bidi w:val="0"/>
        <w:adjustRightInd/>
        <w:snapToGrid/>
        <w:ind w:firstLine="420" w:firstLineChars="200"/>
        <w:jc w:val="left"/>
        <w:textAlignment w:val="auto"/>
        <w:rPr>
          <w:rFonts w:hint="eastAsia"/>
          <w:sz w:val="21"/>
          <w:szCs w:val="21"/>
        </w:rPr>
      </w:pPr>
      <w:r>
        <w:rPr>
          <w:rFonts w:hint="eastAsia"/>
          <w:sz w:val="21"/>
          <w:szCs w:val="21"/>
        </w:rPr>
        <w:t>通过科学运动与精准医疗的结合，为不同年龄和健康状况的群众提供个性化的健康管理和运动促进服务的综合性健康服务机构。</w:t>
      </w:r>
    </w:p>
    <w:p>
      <w:pPr>
        <w:pStyle w:val="51"/>
        <w:keepNext w:val="0"/>
        <w:keepLines w:val="0"/>
        <w:pageBreakBefore w:val="0"/>
        <w:widowControl w:val="0"/>
        <w:kinsoku/>
        <w:wordWrap/>
        <w:overflowPunct/>
        <w:topLinePunct w:val="0"/>
        <w:autoSpaceDE w:val="0"/>
        <w:autoSpaceDN w:val="0"/>
        <w:bidi w:val="0"/>
        <w:adjustRightInd/>
        <w:snapToGrid/>
        <w:ind w:firstLine="420" w:firstLineChars="200"/>
        <w:jc w:val="left"/>
        <w:textAlignment w:val="auto"/>
        <w:rPr>
          <w:rFonts w:hint="eastAsia"/>
          <w:sz w:val="21"/>
          <w:szCs w:val="21"/>
        </w:rPr>
      </w:pPr>
      <w:r>
        <w:rPr>
          <w:rFonts w:hint="eastAsia"/>
          <w:sz w:val="21"/>
          <w:szCs w:val="21"/>
        </w:rPr>
        <w:t>[来源：DB3205/T XXXX—2024，3.1]</w:t>
      </w:r>
    </w:p>
    <w:p>
      <w:pPr>
        <w:pStyle w:val="63"/>
        <w:ind w:left="420" w:hanging="420" w:hangingChars="200"/>
        <w:rPr>
          <w:rFonts w:ascii="黑体" w:hAnsi="黑体" w:eastAsia="黑体"/>
        </w:rPr>
      </w:pPr>
      <w:bookmarkStart w:id="63" w:name="_Toc500938708"/>
      <w:bookmarkEnd w:id="63"/>
      <w:bookmarkStart w:id="64" w:name="_Toc67393172"/>
      <w:bookmarkEnd w:id="64"/>
      <w:bookmarkStart w:id="65" w:name="_Toc87811226"/>
      <w:bookmarkEnd w:id="65"/>
      <w:bookmarkStart w:id="66" w:name="_Toc500955126"/>
      <w:bookmarkEnd w:id="66"/>
      <w:bookmarkStart w:id="67" w:name="_Toc67401900"/>
      <w:bookmarkEnd w:id="67"/>
      <w:bookmarkStart w:id="68" w:name="_Toc87811371"/>
      <w:bookmarkEnd w:id="68"/>
      <w:bookmarkStart w:id="69" w:name="_Toc502157201"/>
      <w:bookmarkEnd w:id="69"/>
    </w:p>
    <w:p>
      <w:pPr>
        <w:pStyle w:val="63"/>
        <w:numPr>
          <w:ilvl w:val="0"/>
          <w:numId w:val="0"/>
        </w:numPr>
        <w:ind w:left="420"/>
        <w:rPr>
          <w:rFonts w:ascii="黑体" w:hAnsi="黑体" w:eastAsia="黑体"/>
        </w:rPr>
      </w:pPr>
      <w:r>
        <w:rPr>
          <w:rFonts w:hint="eastAsia" w:ascii="黑体" w:hAnsi="黑体" w:eastAsia="黑体"/>
        </w:rPr>
        <w:t>运动处方  exercise prescription</w:t>
      </w:r>
    </w:p>
    <w:p>
      <w:pPr>
        <w:pStyle w:val="51"/>
        <w:keepNext w:val="0"/>
        <w:keepLines w:val="0"/>
        <w:pageBreakBefore w:val="0"/>
        <w:widowControl w:val="0"/>
        <w:kinsoku/>
        <w:wordWrap/>
        <w:overflowPunct/>
        <w:topLinePunct w:val="0"/>
        <w:autoSpaceDE w:val="0"/>
        <w:autoSpaceDN w:val="0"/>
        <w:bidi w:val="0"/>
        <w:adjustRightInd/>
        <w:snapToGrid/>
        <w:ind w:firstLine="420" w:firstLineChars="200"/>
        <w:jc w:val="left"/>
        <w:textAlignment w:val="auto"/>
        <w:rPr>
          <w:rFonts w:hint="eastAsia"/>
          <w:sz w:val="21"/>
          <w:szCs w:val="21"/>
        </w:rPr>
      </w:pPr>
      <w:r>
        <w:rPr>
          <w:rFonts w:hint="eastAsia"/>
          <w:sz w:val="21"/>
          <w:szCs w:val="21"/>
        </w:rPr>
        <w:t>依据参加体育活动者的年龄、性别、个人健康信息、医学检查、体育活动的经历以及心肺耐力等体质测试结果，并根据健身目的，用处方的形式制订的系统化、个性化的体育活动指导方案。</w:t>
      </w:r>
    </w:p>
    <w:p>
      <w:pPr>
        <w:pStyle w:val="51"/>
        <w:keepNext w:val="0"/>
        <w:keepLines w:val="0"/>
        <w:pageBreakBefore w:val="0"/>
        <w:widowControl w:val="0"/>
        <w:kinsoku/>
        <w:wordWrap/>
        <w:overflowPunct/>
        <w:topLinePunct w:val="0"/>
        <w:autoSpaceDE w:val="0"/>
        <w:autoSpaceDN w:val="0"/>
        <w:bidi w:val="0"/>
        <w:adjustRightInd/>
        <w:snapToGrid/>
        <w:ind w:firstLine="420" w:firstLineChars="200"/>
        <w:jc w:val="left"/>
        <w:textAlignment w:val="auto"/>
        <w:rPr>
          <w:rFonts w:hint="eastAsia"/>
          <w:sz w:val="21"/>
          <w:szCs w:val="21"/>
        </w:rPr>
      </w:pPr>
      <w:r>
        <w:rPr>
          <w:rFonts w:hint="eastAsia"/>
          <w:sz w:val="21"/>
          <w:szCs w:val="21"/>
        </w:rPr>
        <w:t>[来源：DB3205/T XXXX—2024，3.2]</w:t>
      </w:r>
    </w:p>
    <w:p>
      <w:pPr>
        <w:pStyle w:val="63"/>
        <w:ind w:left="420" w:hanging="420" w:hangingChars="200"/>
        <w:rPr>
          <w:rFonts w:ascii="黑体" w:hAnsi="黑体" w:eastAsia="黑体"/>
        </w:rPr>
      </w:pPr>
    </w:p>
    <w:p>
      <w:pPr>
        <w:pStyle w:val="63"/>
        <w:numPr>
          <w:ilvl w:val="0"/>
          <w:numId w:val="0"/>
        </w:numPr>
        <w:ind w:left="420"/>
        <w:rPr>
          <w:rFonts w:ascii="黑体" w:hAnsi="黑体" w:eastAsia="黑体"/>
        </w:rPr>
      </w:pPr>
      <w:r>
        <w:rPr>
          <w:rFonts w:hint="eastAsia" w:ascii="黑体" w:hAnsi="黑体" w:eastAsia="黑体"/>
        </w:rPr>
        <w:t>体适能  physical fitness</w:t>
      </w:r>
    </w:p>
    <w:p>
      <w:pPr>
        <w:pStyle w:val="51"/>
        <w:keepNext w:val="0"/>
        <w:keepLines w:val="0"/>
        <w:pageBreakBefore w:val="0"/>
        <w:widowControl w:val="0"/>
        <w:kinsoku/>
        <w:wordWrap/>
        <w:overflowPunct/>
        <w:topLinePunct w:val="0"/>
        <w:autoSpaceDE w:val="0"/>
        <w:autoSpaceDN w:val="0"/>
        <w:bidi w:val="0"/>
        <w:adjustRightInd/>
        <w:snapToGrid/>
        <w:ind w:firstLine="420" w:firstLineChars="200"/>
        <w:jc w:val="left"/>
        <w:textAlignment w:val="auto"/>
        <w:rPr>
          <w:rFonts w:hint="eastAsia"/>
          <w:sz w:val="21"/>
          <w:szCs w:val="21"/>
        </w:rPr>
      </w:pPr>
      <w:r>
        <w:rPr>
          <w:rFonts w:hint="eastAsia"/>
          <w:sz w:val="21"/>
          <w:szCs w:val="21"/>
        </w:rPr>
        <w:t>身体有足够的活力和精力进行日常活动，而不会感到过度疲劳，并且还有足够的精力享受休闲活动和应对突发事件的能力。</w:t>
      </w:r>
    </w:p>
    <w:p>
      <w:pPr>
        <w:pStyle w:val="51"/>
        <w:keepNext w:val="0"/>
        <w:keepLines w:val="0"/>
        <w:pageBreakBefore w:val="0"/>
        <w:widowControl w:val="0"/>
        <w:kinsoku/>
        <w:wordWrap/>
        <w:overflowPunct/>
        <w:topLinePunct w:val="0"/>
        <w:autoSpaceDE w:val="0"/>
        <w:autoSpaceDN w:val="0"/>
        <w:bidi w:val="0"/>
        <w:adjustRightInd/>
        <w:snapToGrid/>
        <w:ind w:firstLine="420" w:firstLineChars="200"/>
        <w:jc w:val="left"/>
        <w:textAlignment w:val="auto"/>
        <w:rPr>
          <w:rFonts w:hint="eastAsia"/>
          <w:sz w:val="21"/>
          <w:szCs w:val="21"/>
        </w:rPr>
      </w:pPr>
      <w:r>
        <w:rPr>
          <w:rFonts w:hint="eastAsia"/>
          <w:sz w:val="21"/>
          <w:szCs w:val="21"/>
        </w:rPr>
        <w:t>[来源：DB3205/T XXXX—2024，3.</w:t>
      </w:r>
      <w:r>
        <w:rPr>
          <w:rFonts w:hint="eastAsia"/>
          <w:sz w:val="21"/>
          <w:szCs w:val="21"/>
          <w:lang w:val="en-US" w:eastAsia="zh-CN"/>
        </w:rPr>
        <w:t>3</w:t>
      </w:r>
      <w:r>
        <w:rPr>
          <w:rFonts w:hint="eastAsia"/>
          <w:sz w:val="21"/>
          <w:szCs w:val="21"/>
        </w:rPr>
        <w:t>]</w:t>
      </w:r>
    </w:p>
    <w:p>
      <w:pPr>
        <w:pStyle w:val="66"/>
        <w:spacing w:before="312" w:after="312"/>
      </w:pPr>
      <w:bookmarkStart w:id="70" w:name="_Toc182038338"/>
      <w:bookmarkStart w:id="71" w:name="_Toc180662671"/>
      <w:bookmarkStart w:id="72" w:name="_Toc180662461"/>
      <w:r>
        <w:rPr>
          <w:rFonts w:hint="eastAsia"/>
        </w:rPr>
        <w:t>组织管理</w:t>
      </w:r>
      <w:bookmarkEnd w:id="70"/>
      <w:bookmarkEnd w:id="71"/>
      <w:bookmarkEnd w:id="72"/>
    </w:p>
    <w:p>
      <w:pPr>
        <w:pStyle w:val="65"/>
        <w:spacing w:before="156" w:after="156"/>
      </w:pPr>
      <w:bookmarkStart w:id="73" w:name="_Toc182038339"/>
      <w:r>
        <w:rPr>
          <w:rFonts w:hint="eastAsia"/>
        </w:rPr>
        <w:t>制度要求</w:t>
      </w:r>
      <w:bookmarkEnd w:id="73"/>
    </w:p>
    <w:p>
      <w:pPr>
        <w:pStyle w:val="67"/>
        <w:ind w:firstLine="420"/>
      </w:pPr>
      <w:r>
        <w:rPr>
          <w:rFonts w:hint="eastAsia"/>
        </w:rPr>
        <w:t>应建立日常服务管理制度，包括但不限于：</w:t>
      </w:r>
    </w:p>
    <w:p>
      <w:pPr>
        <w:pStyle w:val="55"/>
        <w:numPr>
          <w:ilvl w:val="0"/>
          <w:numId w:val="14"/>
        </w:numPr>
        <w:ind w:left="840" w:leftChars="200" w:hanging="420" w:hangingChars="200"/>
      </w:pPr>
      <w:r>
        <w:rPr>
          <w:rFonts w:hint="eastAsia"/>
        </w:rPr>
        <w:t>建立财务资产管理制度，中心内所有资产都应造册登记，详细记载财产的名称、数量、购买时间、购买单位以及价格等相关内容，做到账目清楚，表物相符；</w:t>
      </w:r>
    </w:p>
    <w:p>
      <w:pPr>
        <w:pStyle w:val="55"/>
        <w:numPr>
          <w:ilvl w:val="0"/>
          <w:numId w:val="14"/>
        </w:numPr>
        <w:ind w:left="840" w:leftChars="200" w:hanging="420" w:hangingChars="200"/>
      </w:pPr>
      <w:r>
        <w:rPr>
          <w:rFonts w:hint="eastAsia"/>
        </w:rPr>
        <w:t>建立工作人员管理制度，设立并执行工作人员的任职要求、岗位职责、培训教育、考核评价等管理制度；</w:t>
      </w:r>
    </w:p>
    <w:p>
      <w:pPr>
        <w:pStyle w:val="55"/>
        <w:numPr>
          <w:ilvl w:val="0"/>
          <w:numId w:val="14"/>
        </w:numPr>
        <w:ind w:left="840" w:leftChars="200" w:hanging="420" w:hangingChars="200"/>
      </w:pPr>
      <w:r>
        <w:rPr>
          <w:rFonts w:hint="eastAsia"/>
        </w:rPr>
        <w:t>服务场所管理制度，包括首问责任制、一次性告知制以及健康宣教服务与管理制度等；</w:t>
      </w:r>
    </w:p>
    <w:p>
      <w:pPr>
        <w:pStyle w:val="55"/>
        <w:numPr>
          <w:ilvl w:val="0"/>
          <w:numId w:val="14"/>
        </w:numPr>
        <w:ind w:left="840" w:leftChars="200" w:hanging="420" w:hangingChars="200"/>
      </w:pPr>
      <w:r>
        <w:rPr>
          <w:rFonts w:hint="eastAsia"/>
        </w:rPr>
        <w:t>建立设施设备管理制度，具体要求见7.1；</w:t>
      </w:r>
    </w:p>
    <w:p>
      <w:pPr>
        <w:pStyle w:val="55"/>
        <w:numPr>
          <w:ilvl w:val="0"/>
          <w:numId w:val="14"/>
        </w:numPr>
        <w:ind w:left="840" w:leftChars="200" w:hanging="420" w:hangingChars="200"/>
      </w:pPr>
      <w:r>
        <w:rPr>
          <w:rFonts w:hint="eastAsia"/>
        </w:rPr>
        <w:t>建立环境卫生管理制度，开展日常卫生保洁工作，中心应做到环境整洁、干净有序；</w:t>
      </w:r>
    </w:p>
    <w:p>
      <w:pPr>
        <w:pStyle w:val="55"/>
        <w:numPr>
          <w:ilvl w:val="0"/>
          <w:numId w:val="14"/>
        </w:numPr>
        <w:ind w:left="840" w:leftChars="200" w:hanging="420" w:hangingChars="200"/>
      </w:pPr>
      <w:r>
        <w:rPr>
          <w:rFonts w:hint="eastAsia"/>
        </w:rPr>
        <w:t>建立安全管理制度，具体要求见7.2；</w:t>
      </w:r>
    </w:p>
    <w:p>
      <w:pPr>
        <w:pStyle w:val="55"/>
        <w:numPr>
          <w:ilvl w:val="0"/>
          <w:numId w:val="14"/>
        </w:numPr>
        <w:ind w:left="840" w:leftChars="200" w:hanging="420" w:hangingChars="200"/>
      </w:pPr>
      <w:r>
        <w:rPr>
          <w:rFonts w:hint="eastAsia"/>
        </w:rPr>
        <w:t>建立档案管理制度，做好文件、重要工作及活动的建档工作，具体要求见7.3。</w:t>
      </w:r>
    </w:p>
    <w:p>
      <w:pPr>
        <w:pStyle w:val="65"/>
        <w:spacing w:before="156" w:after="156"/>
      </w:pPr>
      <w:bookmarkStart w:id="74" w:name="_Toc182038340"/>
      <w:bookmarkStart w:id="75" w:name="_Toc180662463"/>
      <w:bookmarkStart w:id="76" w:name="_Toc180662673"/>
      <w:r>
        <w:rPr>
          <w:rFonts w:hint="eastAsia"/>
        </w:rPr>
        <w:t>分级要求</w:t>
      </w:r>
      <w:bookmarkEnd w:id="74"/>
      <w:bookmarkEnd w:id="75"/>
      <w:bookmarkEnd w:id="76"/>
    </w:p>
    <w:p>
      <w:pPr>
        <w:pStyle w:val="68"/>
        <w:numPr>
          <w:ilvl w:val="0"/>
          <w:numId w:val="0"/>
        </w:numPr>
        <w:ind w:firstLine="420" w:firstLineChars="200"/>
      </w:pPr>
      <w:r>
        <w:rPr>
          <w:rFonts w:hint="eastAsia"/>
        </w:rPr>
        <w:t>运动促进健康中心运营服务分级内容见附录A，分为必备条件和评分项。符合必备条件后，再进行评分。</w:t>
      </w:r>
    </w:p>
    <w:p>
      <w:pPr>
        <w:pStyle w:val="65"/>
        <w:spacing w:before="156" w:after="156"/>
      </w:pPr>
      <w:bookmarkStart w:id="77" w:name="_Toc182038341"/>
      <w:bookmarkStart w:id="78" w:name="_Toc180662674"/>
      <w:bookmarkStart w:id="79" w:name="_Toc180662464"/>
      <w:r>
        <w:rPr>
          <w:rFonts w:hint="eastAsia"/>
        </w:rPr>
        <w:t>功能设置</w:t>
      </w:r>
      <w:bookmarkEnd w:id="77"/>
    </w:p>
    <w:p>
      <w:pPr>
        <w:pStyle w:val="69"/>
        <w:spacing w:before="156" w:after="156"/>
      </w:pPr>
      <w:bookmarkStart w:id="80" w:name="_Toc182038342"/>
      <w:r>
        <w:rPr>
          <w:rFonts w:hint="eastAsia"/>
        </w:rPr>
        <w:t>部门设置</w:t>
      </w:r>
      <w:bookmarkEnd w:id="78"/>
      <w:bookmarkEnd w:id="79"/>
      <w:bookmarkEnd w:id="80"/>
    </w:p>
    <w:p>
      <w:pPr>
        <w:pStyle w:val="86"/>
        <w:numPr>
          <w:ilvl w:val="4"/>
          <w:numId w:val="8"/>
        </w:numPr>
      </w:pPr>
      <w:r>
        <w:rPr>
          <w:rFonts w:hint="eastAsia"/>
        </w:rPr>
        <w:t>宜根据实际情况设置部门，包括但不限于：项目部、行政部、运动康复部、科学健身部、市场部等。</w:t>
      </w:r>
    </w:p>
    <w:p>
      <w:pPr>
        <w:pStyle w:val="86"/>
        <w:numPr>
          <w:ilvl w:val="4"/>
          <w:numId w:val="8"/>
        </w:numPr>
      </w:pPr>
      <w:r>
        <w:rPr>
          <w:rFonts w:hint="eastAsia"/>
        </w:rPr>
        <w:t>项目部工作职责包括但不限于：</w:t>
      </w:r>
    </w:p>
    <w:p>
      <w:pPr>
        <w:pStyle w:val="84"/>
        <w:numPr>
          <w:ilvl w:val="0"/>
          <w:numId w:val="4"/>
        </w:numPr>
        <w:ind w:left="851" w:hanging="426"/>
      </w:pPr>
      <w:r>
        <w:rPr>
          <w:rFonts w:hint="eastAsia"/>
        </w:rPr>
        <w:t>负责体卫融合特色的运动促进健康工作；</w:t>
      </w:r>
    </w:p>
    <w:p>
      <w:pPr>
        <w:pStyle w:val="84"/>
        <w:numPr>
          <w:ilvl w:val="0"/>
          <w:numId w:val="4"/>
        </w:numPr>
        <w:ind w:left="851" w:hanging="426"/>
      </w:pPr>
      <w:r>
        <w:rPr>
          <w:rFonts w:hint="eastAsia"/>
        </w:rPr>
        <w:t>开展运动干预、全民健身科普宣传教育；</w:t>
      </w:r>
    </w:p>
    <w:p>
      <w:pPr>
        <w:pStyle w:val="84"/>
        <w:numPr>
          <w:ilvl w:val="0"/>
          <w:numId w:val="4"/>
        </w:numPr>
        <w:ind w:left="851" w:hanging="426"/>
      </w:pPr>
      <w:r>
        <w:rPr>
          <w:rFonts w:hint="eastAsia"/>
        </w:rPr>
        <w:t>策划和组织各种科学健身活动，如健步走、跑步、游泳、瑜伽等，并指导参与者如何正确进行运动；</w:t>
      </w:r>
    </w:p>
    <w:p>
      <w:pPr>
        <w:pStyle w:val="84"/>
        <w:numPr>
          <w:ilvl w:val="0"/>
          <w:numId w:val="4"/>
        </w:numPr>
        <w:ind w:left="851" w:hanging="426"/>
      </w:pPr>
      <w:r>
        <w:rPr>
          <w:rFonts w:hint="eastAsia"/>
        </w:rPr>
        <w:t>组织讲座、研讨会、宣传册等方式普及科学健身的知识、理念和认知。</w:t>
      </w:r>
    </w:p>
    <w:p>
      <w:pPr>
        <w:pStyle w:val="86"/>
        <w:numPr>
          <w:ilvl w:val="4"/>
          <w:numId w:val="8"/>
        </w:numPr>
      </w:pPr>
      <w:r>
        <w:rPr>
          <w:rFonts w:hint="eastAsia"/>
        </w:rPr>
        <w:t>行政部工作职责包括但不限于：</w:t>
      </w:r>
    </w:p>
    <w:p>
      <w:pPr>
        <w:pStyle w:val="84"/>
        <w:numPr>
          <w:ilvl w:val="0"/>
          <w:numId w:val="4"/>
        </w:numPr>
        <w:ind w:left="851" w:hanging="426"/>
      </w:pPr>
      <w:r>
        <w:rPr>
          <w:rFonts w:hint="eastAsia"/>
        </w:rPr>
        <w:t>负责运动促进健康中心的接待预约服务、财务管理、设施设备管理和环境卫生管理工作；</w:t>
      </w:r>
    </w:p>
    <w:p>
      <w:pPr>
        <w:pStyle w:val="84"/>
        <w:numPr>
          <w:ilvl w:val="0"/>
          <w:numId w:val="4"/>
        </w:numPr>
        <w:ind w:left="851" w:hanging="426"/>
      </w:pPr>
      <w:r>
        <w:rPr>
          <w:rFonts w:hint="eastAsia"/>
        </w:rPr>
        <w:t>负责健康管理专业人才的培养和培训工作；</w:t>
      </w:r>
    </w:p>
    <w:p>
      <w:pPr>
        <w:pStyle w:val="84"/>
        <w:numPr>
          <w:ilvl w:val="0"/>
          <w:numId w:val="4"/>
        </w:numPr>
        <w:ind w:left="851" w:hanging="426"/>
      </w:pPr>
      <w:r>
        <w:rPr>
          <w:rFonts w:hint="eastAsia"/>
        </w:rPr>
        <w:t>负责属地下级运动促进健康中心建设的联络工作。</w:t>
      </w:r>
    </w:p>
    <w:p>
      <w:pPr>
        <w:pStyle w:val="86"/>
        <w:numPr>
          <w:ilvl w:val="4"/>
          <w:numId w:val="8"/>
        </w:numPr>
      </w:pPr>
      <w:r>
        <w:rPr>
          <w:rFonts w:hint="eastAsia"/>
        </w:rPr>
        <w:t>运动康复部工作职责包括但不限于：</w:t>
      </w:r>
    </w:p>
    <w:p>
      <w:pPr>
        <w:pStyle w:val="84"/>
        <w:numPr>
          <w:ilvl w:val="0"/>
          <w:numId w:val="4"/>
        </w:numPr>
        <w:ind w:left="851" w:hanging="426"/>
      </w:pPr>
      <w:r>
        <w:rPr>
          <w:rFonts w:hint="eastAsia"/>
        </w:rPr>
        <w:t>负责对服务对象进行全面的康复评估，包括体能水平、疼痛程度、运动范围等指标，确定康复计划的方向；</w:t>
      </w:r>
    </w:p>
    <w:p>
      <w:pPr>
        <w:pStyle w:val="84"/>
        <w:numPr>
          <w:ilvl w:val="0"/>
          <w:numId w:val="4"/>
        </w:numPr>
        <w:ind w:left="851" w:hanging="426"/>
      </w:pPr>
      <w:r>
        <w:rPr>
          <w:rFonts w:hint="eastAsia"/>
        </w:rPr>
        <w:t>根据评估结果，制定个体化的康复计划，涉及康复的时间、频率、强度等方面的具体安排；</w:t>
      </w:r>
    </w:p>
    <w:p>
      <w:pPr>
        <w:pStyle w:val="84"/>
        <w:numPr>
          <w:ilvl w:val="0"/>
          <w:numId w:val="4"/>
        </w:numPr>
        <w:ind w:left="851" w:hanging="426"/>
      </w:pPr>
      <w:r>
        <w:rPr>
          <w:rFonts w:hint="eastAsia"/>
        </w:rPr>
        <w:t>通过物理治疗、运动疗法、康复训练等方式，帮助服务对象恢复功能和运动能力。</w:t>
      </w:r>
    </w:p>
    <w:p>
      <w:pPr>
        <w:pStyle w:val="86"/>
        <w:numPr>
          <w:ilvl w:val="4"/>
          <w:numId w:val="8"/>
        </w:numPr>
      </w:pPr>
      <w:r>
        <w:rPr>
          <w:rFonts w:hint="eastAsia"/>
        </w:rPr>
        <w:t>科学健身部工作职责包括但不限于：</w:t>
      </w:r>
    </w:p>
    <w:p>
      <w:pPr>
        <w:pStyle w:val="84"/>
        <w:numPr>
          <w:ilvl w:val="0"/>
          <w:numId w:val="4"/>
        </w:numPr>
        <w:ind w:left="851" w:hanging="426"/>
      </w:pPr>
      <w:r>
        <w:rPr>
          <w:rFonts w:hint="eastAsia"/>
        </w:rPr>
        <w:t>负责研究和制定适合不同年龄、性别、健康状况人群的科学健身计划；</w:t>
      </w:r>
    </w:p>
    <w:p>
      <w:pPr>
        <w:pStyle w:val="84"/>
        <w:numPr>
          <w:ilvl w:val="0"/>
          <w:numId w:val="4"/>
        </w:numPr>
        <w:ind w:left="851" w:hanging="426"/>
      </w:pPr>
      <w:r>
        <w:rPr>
          <w:rFonts w:hint="eastAsia"/>
        </w:rPr>
        <w:t>通过体质测试和健康评估，为个人或团体提供定制化的健身建议和运动处方；</w:t>
      </w:r>
    </w:p>
    <w:p>
      <w:pPr>
        <w:pStyle w:val="84"/>
        <w:numPr>
          <w:ilvl w:val="0"/>
          <w:numId w:val="4"/>
        </w:numPr>
        <w:ind w:left="851" w:hanging="426"/>
      </w:pPr>
      <w:r>
        <w:rPr>
          <w:rFonts w:hint="eastAsia"/>
        </w:rPr>
        <w:t>负责各类人群科学健身及运动处方的研究、制定、推广应用；</w:t>
      </w:r>
    </w:p>
    <w:p>
      <w:pPr>
        <w:pStyle w:val="84"/>
        <w:numPr>
          <w:ilvl w:val="0"/>
          <w:numId w:val="4"/>
        </w:numPr>
        <w:ind w:left="851" w:hanging="426"/>
      </w:pPr>
      <w:r>
        <w:rPr>
          <w:rFonts w:hint="eastAsia"/>
        </w:rPr>
        <w:t>负责对服务项目的效果进行监测和评估，根据反馈调整和优化健身计划；</w:t>
      </w:r>
    </w:p>
    <w:p>
      <w:pPr>
        <w:pStyle w:val="84"/>
        <w:numPr>
          <w:ilvl w:val="0"/>
          <w:numId w:val="4"/>
        </w:numPr>
        <w:ind w:left="851" w:hanging="426"/>
      </w:pPr>
      <w:r>
        <w:rPr>
          <w:rFonts w:hint="eastAsia"/>
        </w:rPr>
        <w:t>不断探索和创新健身方法，结合最新科学研究，为服务对象提供更多元化和高效的健身选择。</w:t>
      </w:r>
    </w:p>
    <w:p>
      <w:pPr>
        <w:pStyle w:val="86"/>
        <w:numPr>
          <w:ilvl w:val="4"/>
          <w:numId w:val="8"/>
        </w:numPr>
      </w:pPr>
      <w:r>
        <w:rPr>
          <w:rFonts w:hint="eastAsia"/>
        </w:rPr>
        <w:t>市场部工作职责包括但不限于：</w:t>
      </w:r>
    </w:p>
    <w:p>
      <w:pPr>
        <w:pStyle w:val="84"/>
        <w:numPr>
          <w:ilvl w:val="0"/>
          <w:numId w:val="4"/>
        </w:numPr>
        <w:ind w:left="851" w:hanging="426"/>
      </w:pPr>
      <w:r>
        <w:rPr>
          <w:rFonts w:hint="eastAsia"/>
        </w:rPr>
        <w:t>负责开展深入的市场调研，了解目标人群的运动健康需求和偏好；</w:t>
      </w:r>
    </w:p>
    <w:p>
      <w:pPr>
        <w:pStyle w:val="84"/>
        <w:numPr>
          <w:ilvl w:val="0"/>
          <w:numId w:val="4"/>
        </w:numPr>
        <w:ind w:left="851" w:hanging="426"/>
      </w:pPr>
      <w:r>
        <w:rPr>
          <w:rFonts w:hint="eastAsia"/>
        </w:rPr>
        <w:t>负责运动促进健康中心的品牌建设和宣传推广，通过多渠道宣传科学运动和健康管理；</w:t>
      </w:r>
    </w:p>
    <w:p>
      <w:pPr>
        <w:pStyle w:val="84"/>
        <w:numPr>
          <w:ilvl w:val="0"/>
          <w:numId w:val="4"/>
        </w:numPr>
        <w:ind w:left="851" w:hanging="426"/>
      </w:pPr>
      <w:r>
        <w:rPr>
          <w:rFonts w:hint="eastAsia"/>
        </w:rPr>
        <w:t>积极寻找并建立与政府机构、企业、学校等的合作关系，引入更多资源和支持。</w:t>
      </w:r>
    </w:p>
    <w:p>
      <w:pPr>
        <w:pStyle w:val="69"/>
        <w:spacing w:before="156" w:after="156"/>
      </w:pPr>
      <w:bookmarkStart w:id="81" w:name="_Toc180662465"/>
      <w:bookmarkStart w:id="82" w:name="_Toc180662675"/>
      <w:bookmarkStart w:id="83" w:name="_Toc182038343"/>
      <w:r>
        <w:rPr>
          <w:rFonts w:hint="eastAsia"/>
        </w:rPr>
        <w:t>岗位设置</w:t>
      </w:r>
      <w:bookmarkEnd w:id="81"/>
      <w:bookmarkEnd w:id="82"/>
      <w:bookmarkEnd w:id="83"/>
    </w:p>
    <w:p>
      <w:pPr>
        <w:pStyle w:val="86"/>
        <w:keepNext w:val="0"/>
        <w:keepLines w:val="0"/>
        <w:pageBreakBefore w:val="0"/>
        <w:numPr>
          <w:ilvl w:val="4"/>
          <w:numId w:val="8"/>
        </w:numPr>
        <w:kinsoku/>
        <w:wordWrap/>
        <w:overflowPunct/>
        <w:topLinePunct w:val="0"/>
        <w:bidi w:val="0"/>
        <w:adjustRightInd/>
        <w:snapToGrid/>
        <w:spacing w:before="0" w:beforeLines="0" w:after="0" w:afterLines="0"/>
        <w:textAlignment w:val="auto"/>
      </w:pPr>
      <w:r>
        <w:rPr>
          <w:rFonts w:hint="eastAsia"/>
        </w:rPr>
        <w:t>根据工作需要，可设立运动处方岗、康复治疗岗、社会体育指导员岗、行政事务岗、宣传教育岗等工作岗位，根据场地面积和服务情况设置岗位及工作人员。</w:t>
      </w:r>
    </w:p>
    <w:p>
      <w:pPr>
        <w:pStyle w:val="86"/>
        <w:keepNext w:val="0"/>
        <w:keepLines w:val="0"/>
        <w:pageBreakBefore w:val="0"/>
        <w:numPr>
          <w:ilvl w:val="4"/>
          <w:numId w:val="8"/>
        </w:numPr>
        <w:kinsoku/>
        <w:wordWrap/>
        <w:overflowPunct/>
        <w:topLinePunct w:val="0"/>
        <w:bidi w:val="0"/>
        <w:adjustRightInd/>
        <w:snapToGrid/>
        <w:spacing w:before="0" w:beforeLines="0" w:after="0" w:afterLines="0"/>
        <w:textAlignment w:val="auto"/>
      </w:pPr>
      <w:r>
        <w:rPr>
          <w:rFonts w:hint="eastAsia"/>
        </w:rPr>
        <w:t>运动处方岗位具有运动处方师资格，工作职责包括但不限于：</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根据服务对象的健康状况、年龄、性别和运动目标，制定运动指导建议；</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根据服务对象的体脂率、肌肉量等指标定制个性化的运动方案，包括饮食控制、器材使用、训练方法等；</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结合服务对象的目标和需求制定出科学有效的健身计划，并对健身效果进行监督和管理。</w:t>
      </w:r>
    </w:p>
    <w:p>
      <w:pPr>
        <w:pStyle w:val="86"/>
        <w:keepNext w:val="0"/>
        <w:keepLines w:val="0"/>
        <w:pageBreakBefore w:val="0"/>
        <w:numPr>
          <w:ilvl w:val="4"/>
          <w:numId w:val="8"/>
        </w:numPr>
        <w:kinsoku/>
        <w:wordWrap/>
        <w:overflowPunct/>
        <w:topLinePunct w:val="0"/>
        <w:bidi w:val="0"/>
        <w:adjustRightInd/>
        <w:snapToGrid/>
        <w:spacing w:before="0" w:beforeLines="0" w:after="0" w:afterLines="0"/>
        <w:textAlignment w:val="auto"/>
      </w:pPr>
      <w:r>
        <w:rPr>
          <w:rFonts w:hint="eastAsia"/>
        </w:rPr>
        <w:t>康复治疗岗位应具有康复治疗师从业资格，工作职责包括但不限于：</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负责制定康复训练目标，为服务对象提供针对性的康复运动计划和健康指导；</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开展慢性疾病生活方式健康教育活动，包括运动、训练、日常饮食的调整等方面。</w:t>
      </w:r>
    </w:p>
    <w:p>
      <w:pPr>
        <w:pStyle w:val="86"/>
        <w:keepNext w:val="0"/>
        <w:keepLines w:val="0"/>
        <w:pageBreakBefore w:val="0"/>
        <w:numPr>
          <w:ilvl w:val="4"/>
          <w:numId w:val="8"/>
        </w:numPr>
        <w:kinsoku/>
        <w:wordWrap/>
        <w:overflowPunct/>
        <w:topLinePunct w:val="0"/>
        <w:bidi w:val="0"/>
        <w:adjustRightInd/>
        <w:snapToGrid/>
        <w:spacing w:before="0" w:beforeLines="0" w:after="0" w:afterLines="0"/>
        <w:textAlignment w:val="auto"/>
      </w:pPr>
      <w:r>
        <w:rPr>
          <w:rFonts w:hint="eastAsia"/>
        </w:rPr>
        <w:t>社会体育指导员应具有二级以上证书，岗位工作职责包括但不限于：</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负责运动技能的传授、健身指导以及组织管理工作；</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提供健身项目和方法的咨询服务，制定健身计划和指导方案；</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对运动技能水平和健身效果进行评价；</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负责体育竞赛、交流等活动的保障工作；</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负责传播科学健身理念，广泛开展科学健身指导服务。</w:t>
      </w:r>
    </w:p>
    <w:p>
      <w:pPr>
        <w:pStyle w:val="93"/>
        <w:keepNext w:val="0"/>
        <w:keepLines w:val="0"/>
        <w:pageBreakBefore w:val="0"/>
        <w:numPr>
          <w:ilvl w:val="0"/>
          <w:numId w:val="5"/>
        </w:numPr>
        <w:kinsoku/>
        <w:wordWrap/>
        <w:overflowPunct/>
        <w:topLinePunct w:val="0"/>
        <w:bidi w:val="0"/>
        <w:adjustRightInd/>
        <w:snapToGrid/>
        <w:ind w:left="737" w:hanging="374"/>
        <w:textAlignment w:val="auto"/>
      </w:pPr>
      <w:r>
        <w:rPr>
          <w:rFonts w:hint="eastAsia"/>
        </w:rPr>
        <w:t>地（市）级体育主管部门或经批准的省级协会批准授予二级社会体育指导员技术等级称号。</w:t>
      </w:r>
    </w:p>
    <w:p>
      <w:pPr>
        <w:pStyle w:val="86"/>
        <w:keepNext w:val="0"/>
        <w:keepLines w:val="0"/>
        <w:pageBreakBefore w:val="0"/>
        <w:numPr>
          <w:ilvl w:val="4"/>
          <w:numId w:val="8"/>
        </w:numPr>
        <w:kinsoku/>
        <w:wordWrap/>
        <w:overflowPunct/>
        <w:topLinePunct w:val="0"/>
        <w:bidi w:val="0"/>
        <w:adjustRightInd/>
        <w:snapToGrid/>
        <w:spacing w:before="0" w:beforeLines="0" w:after="0" w:afterLines="0"/>
        <w:textAlignment w:val="auto"/>
      </w:pPr>
      <w:r>
        <w:rPr>
          <w:rFonts w:hint="eastAsia"/>
        </w:rPr>
        <w:t>行政事务岗位工作职责包括但不限于：</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处理日常行政事务，包括文件管理、会议安排、通讯联络等；</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监督和管理财务状况，包括预算编制、财务报告、费用报销等；</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管理场地和设施，确保其安全、清洁和高效使用；</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负责接待访客，回答访客的咨询，记录和核实预约信息；</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保持中心区域整洁，确保中心环境卫生的舒适和整洁。</w:t>
      </w:r>
    </w:p>
    <w:p>
      <w:pPr>
        <w:pStyle w:val="86"/>
        <w:keepNext w:val="0"/>
        <w:keepLines w:val="0"/>
        <w:pageBreakBefore w:val="0"/>
        <w:numPr>
          <w:ilvl w:val="4"/>
          <w:numId w:val="8"/>
        </w:numPr>
        <w:kinsoku/>
        <w:wordWrap/>
        <w:overflowPunct/>
        <w:topLinePunct w:val="0"/>
        <w:bidi w:val="0"/>
        <w:adjustRightInd/>
        <w:snapToGrid/>
        <w:spacing w:before="0" w:beforeLines="0" w:after="0" w:afterLines="0"/>
        <w:textAlignment w:val="auto"/>
      </w:pPr>
      <w:r>
        <w:rPr>
          <w:rFonts w:hint="eastAsia"/>
        </w:rPr>
        <w:t>宣传教育岗位工作职责包括但不限于：</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根据健康促进目标和公众需求，策划具有吸引力和教育意义的宣传活动；</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创作科学、准确、易于理解的健康教育文本和视觉材料，如宣传册、海报、视频等；</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利用社交媒体、官方网站、邮件列表等多种渠道发布健康信息，扩大宣传覆盖面；</w:t>
      </w:r>
    </w:p>
    <w:p>
      <w:pPr>
        <w:pStyle w:val="84"/>
        <w:keepNext w:val="0"/>
        <w:keepLines w:val="0"/>
        <w:pageBreakBefore w:val="0"/>
        <w:numPr>
          <w:ilvl w:val="0"/>
          <w:numId w:val="4"/>
        </w:numPr>
        <w:kinsoku/>
        <w:wordWrap/>
        <w:overflowPunct/>
        <w:topLinePunct w:val="0"/>
        <w:bidi w:val="0"/>
        <w:adjustRightInd/>
        <w:snapToGrid/>
        <w:ind w:left="851" w:hanging="426"/>
        <w:textAlignment w:val="auto"/>
      </w:pPr>
      <w:r>
        <w:rPr>
          <w:rFonts w:hint="eastAsia"/>
        </w:rPr>
        <w:t>与社区机构、学校、企业等建立合作关系，共同举办运动促进健康活动。</w:t>
      </w:r>
    </w:p>
    <w:p>
      <w:pPr>
        <w:pStyle w:val="66"/>
        <w:spacing w:before="312" w:after="312"/>
      </w:pPr>
      <w:bookmarkStart w:id="84" w:name="_Toc180662678"/>
      <w:bookmarkStart w:id="85" w:name="_Toc180662468"/>
      <w:bookmarkStart w:id="86" w:name="_Toc182038345"/>
      <w:r>
        <w:rPr>
          <w:rFonts w:hint="eastAsia"/>
        </w:rPr>
        <w:t>服务内容与要求</w:t>
      </w:r>
      <w:bookmarkEnd w:id="84"/>
      <w:bookmarkEnd w:id="85"/>
      <w:bookmarkEnd w:id="86"/>
    </w:p>
    <w:p>
      <w:pPr>
        <w:pStyle w:val="65"/>
        <w:spacing w:before="156" w:after="156"/>
      </w:pPr>
      <w:bookmarkStart w:id="87" w:name="_Toc180662679"/>
      <w:bookmarkStart w:id="88" w:name="_Toc180662469"/>
      <w:bookmarkStart w:id="89" w:name="_Toc182038346"/>
      <w:r>
        <w:rPr>
          <w:rFonts w:hint="eastAsia"/>
        </w:rPr>
        <w:t>体质和健康</w:t>
      </w:r>
      <w:bookmarkEnd w:id="87"/>
      <w:bookmarkEnd w:id="88"/>
      <w:r>
        <w:rPr>
          <w:rFonts w:hint="eastAsia"/>
        </w:rPr>
        <w:t>检测</w:t>
      </w:r>
      <w:bookmarkEnd w:id="89"/>
    </w:p>
    <w:p>
      <w:pPr>
        <w:pStyle w:val="68"/>
      </w:pPr>
      <w:r>
        <w:rPr>
          <w:rFonts w:hint="eastAsia"/>
        </w:rPr>
        <w:t>对服务对象进行运动风险测评，按要求签订体适能测评知情同意书。</w:t>
      </w:r>
    </w:p>
    <w:p>
      <w:pPr>
        <w:pStyle w:val="68"/>
      </w:pPr>
      <w:r>
        <w:rPr>
          <w:rFonts w:hint="eastAsia"/>
        </w:rPr>
        <w:t>要求高危运动风险服务人群在医院进行基本医学筛查和健康检查。</w:t>
      </w:r>
    </w:p>
    <w:p>
      <w:pPr>
        <w:pStyle w:val="68"/>
      </w:pPr>
      <w:r>
        <w:rPr>
          <w:rFonts w:hint="eastAsia"/>
        </w:rPr>
        <w:t>与服务对象签订运动干预指导知情同意书。</w:t>
      </w:r>
    </w:p>
    <w:p>
      <w:pPr>
        <w:pStyle w:val="65"/>
        <w:spacing w:before="156" w:after="156"/>
      </w:pPr>
      <w:bookmarkStart w:id="90" w:name="_Toc180662470"/>
      <w:bookmarkStart w:id="91" w:name="_Toc180662680"/>
      <w:bookmarkStart w:id="92" w:name="_Toc182038347"/>
      <w:r>
        <w:rPr>
          <w:rFonts w:hint="eastAsia"/>
        </w:rPr>
        <w:t>运动处方开具</w:t>
      </w:r>
      <w:bookmarkEnd w:id="90"/>
      <w:bookmarkEnd w:id="91"/>
      <w:bookmarkEnd w:id="92"/>
    </w:p>
    <w:p>
      <w:pPr>
        <w:pStyle w:val="68"/>
      </w:pPr>
      <w:r>
        <w:rPr>
          <w:rFonts w:hint="eastAsia"/>
        </w:rPr>
        <w:t>为服务对象制定符合健康状况、体力活动水平、外部支撑条件的运动处方，包含运动目的、运动方式、运动强度、运动时间、运动频率、运动总量、运动进度和注意事项等内容。</w:t>
      </w:r>
    </w:p>
    <w:p>
      <w:pPr>
        <w:pStyle w:val="68"/>
      </w:pPr>
      <w:r>
        <w:rPr>
          <w:rFonts w:hint="eastAsia"/>
        </w:rPr>
        <w:t>为服务对象开具个性化运动处方。</w:t>
      </w:r>
    </w:p>
    <w:p>
      <w:pPr>
        <w:pStyle w:val="65"/>
        <w:spacing w:before="156" w:after="156"/>
      </w:pPr>
      <w:bookmarkStart w:id="93" w:name="_Toc180662681"/>
      <w:bookmarkStart w:id="94" w:name="_Toc182038348"/>
      <w:bookmarkStart w:id="95" w:name="_Toc180662471"/>
      <w:r>
        <w:rPr>
          <w:rFonts w:hint="eastAsia"/>
        </w:rPr>
        <w:t>科学健身指导</w:t>
      </w:r>
      <w:bookmarkEnd w:id="93"/>
      <w:bookmarkEnd w:id="94"/>
      <w:bookmarkEnd w:id="95"/>
    </w:p>
    <w:p>
      <w:pPr>
        <w:pStyle w:val="68"/>
      </w:pPr>
      <w:r>
        <w:rPr>
          <w:rFonts w:hint="eastAsia"/>
        </w:rPr>
        <w:t>开展运动干预指导前应签署知情同意书。</w:t>
      </w:r>
    </w:p>
    <w:p>
      <w:pPr>
        <w:pStyle w:val="68"/>
      </w:pPr>
      <w:r>
        <w:rPr>
          <w:rFonts w:hint="eastAsia"/>
        </w:rPr>
        <w:t>运动指导应符合GB/T 34285要求。</w:t>
      </w:r>
    </w:p>
    <w:p>
      <w:pPr>
        <w:pStyle w:val="68"/>
      </w:pPr>
      <w:r>
        <w:rPr>
          <w:rFonts w:hint="eastAsia"/>
        </w:rPr>
        <w:t>服务人员应遵循运动处方原则对服务对象进行科学训练指导，指导内容包括正确的呼吸技巧、健身器械的正确使用方法、动作技巧和姿势矫正、营养建议、恢复策略、预防运动损伤的注意事项以及心理辅导等。</w:t>
      </w:r>
    </w:p>
    <w:p>
      <w:pPr>
        <w:pStyle w:val="68"/>
      </w:pPr>
      <w:r>
        <w:rPr>
          <w:rFonts w:hint="eastAsia"/>
        </w:rPr>
        <w:t>服务人员宜采用现场及远程相结合的方式指导服务对象的运动健康。</w:t>
      </w:r>
    </w:p>
    <w:p>
      <w:pPr>
        <w:pStyle w:val="65"/>
        <w:spacing w:before="156" w:after="156"/>
      </w:pPr>
      <w:bookmarkStart w:id="96" w:name="_Toc182038349"/>
      <w:bookmarkStart w:id="97" w:name="_Toc180662472"/>
      <w:bookmarkStart w:id="98" w:name="_Toc180662682"/>
      <w:r>
        <w:rPr>
          <w:rFonts w:hint="eastAsia"/>
        </w:rPr>
        <w:t>运动康复训练</w:t>
      </w:r>
      <w:bookmarkEnd w:id="96"/>
      <w:bookmarkEnd w:id="97"/>
      <w:bookmarkEnd w:id="98"/>
    </w:p>
    <w:p>
      <w:pPr>
        <w:pStyle w:val="67"/>
        <w:ind w:firstLine="420"/>
      </w:pPr>
      <w:r>
        <w:rPr>
          <w:rFonts w:hint="eastAsia"/>
        </w:rPr>
        <w:t>运动健身康复项目应包含9套健身气功功法以及有氧运动、力量训练柔韧平衡训练、运动拉伸、四季养生操、广场舞等，根据需要为服务对象进行运动康复训练。</w:t>
      </w:r>
    </w:p>
    <w:p>
      <w:pPr>
        <w:pStyle w:val="65"/>
        <w:spacing w:before="156" w:after="156"/>
      </w:pPr>
      <w:bookmarkStart w:id="99" w:name="_Toc180662683"/>
      <w:bookmarkStart w:id="100" w:name="_Toc180662473"/>
      <w:bookmarkStart w:id="101" w:name="_Toc182038350"/>
      <w:r>
        <w:rPr>
          <w:rFonts w:hint="eastAsia"/>
        </w:rPr>
        <w:t>科学健身知识宣讲</w:t>
      </w:r>
      <w:bookmarkEnd w:id="99"/>
      <w:bookmarkEnd w:id="100"/>
      <w:bookmarkEnd w:id="101"/>
    </w:p>
    <w:p>
      <w:pPr>
        <w:pStyle w:val="68"/>
      </w:pPr>
      <w:r>
        <w:rPr>
          <w:rFonts w:hint="eastAsia"/>
        </w:rPr>
        <w:t>定期更新展示内容。应在入口处，通过智能大屏进行科学健身运动教育，配备宣教资料。</w:t>
      </w:r>
    </w:p>
    <w:p>
      <w:pPr>
        <w:pStyle w:val="68"/>
      </w:pPr>
      <w:r>
        <w:rPr>
          <w:rFonts w:hint="eastAsia"/>
        </w:rPr>
        <w:t>利用智能屏幕和场地，定期开展有氧运动知识、抗阻运动知识、运动损伤知识等科普教育。</w:t>
      </w:r>
    </w:p>
    <w:p>
      <w:pPr>
        <w:pStyle w:val="68"/>
      </w:pPr>
      <w:r>
        <w:rPr>
          <w:rFonts w:hint="eastAsia"/>
        </w:rPr>
        <w:t>科学健身知识宣讲。每周期年面向服务对象开展健康生活方式、科学健身指导、运动损伤防护、慢病防治等方面的线下健身知识讲座或培训，开展“全民健身日”线下科普宣教活动。</w:t>
      </w:r>
    </w:p>
    <w:p>
      <w:pPr>
        <w:pStyle w:val="65"/>
        <w:spacing w:before="156" w:after="156"/>
      </w:pPr>
      <w:bookmarkStart w:id="102" w:name="_Toc182038351"/>
      <w:bookmarkStart w:id="103" w:name="_Toc180662474"/>
      <w:bookmarkStart w:id="104" w:name="_Toc180662684"/>
      <w:r>
        <w:rPr>
          <w:rFonts w:hint="eastAsia"/>
        </w:rPr>
        <w:t>体育赛事活动保障</w:t>
      </w:r>
      <w:bookmarkEnd w:id="102"/>
      <w:bookmarkEnd w:id="103"/>
      <w:bookmarkEnd w:id="104"/>
    </w:p>
    <w:p>
      <w:pPr>
        <w:pStyle w:val="67"/>
        <w:ind w:firstLine="420"/>
      </w:pPr>
      <w:r>
        <w:rPr>
          <w:rFonts w:hint="eastAsia"/>
        </w:rPr>
        <w:t>开展体育赛事活动保障服务，宜为体育赛事活动主办方提供以下活动保障：</w:t>
      </w:r>
    </w:p>
    <w:p>
      <w:pPr>
        <w:pStyle w:val="55"/>
        <w:numPr>
          <w:ilvl w:val="0"/>
          <w:numId w:val="15"/>
        </w:numPr>
        <w:ind w:left="840" w:leftChars="200" w:hanging="420" w:hangingChars="200"/>
      </w:pPr>
      <w:r>
        <w:rPr>
          <w:rFonts w:hint="eastAsia"/>
        </w:rPr>
        <w:t>赛前健康检查与评估；</w:t>
      </w:r>
    </w:p>
    <w:p>
      <w:pPr>
        <w:pStyle w:val="55"/>
        <w:numPr>
          <w:ilvl w:val="0"/>
          <w:numId w:val="15"/>
        </w:numPr>
        <w:ind w:left="840" w:leftChars="200" w:hanging="420" w:hangingChars="200"/>
      </w:pPr>
      <w:r>
        <w:rPr>
          <w:rFonts w:hint="eastAsia"/>
        </w:rPr>
        <w:t>赛前营养指导意见；</w:t>
      </w:r>
    </w:p>
    <w:p>
      <w:pPr>
        <w:pStyle w:val="55"/>
        <w:numPr>
          <w:ilvl w:val="0"/>
          <w:numId w:val="15"/>
        </w:numPr>
        <w:ind w:left="840" w:leftChars="200" w:hanging="420" w:hangingChars="200"/>
      </w:pPr>
      <w:r>
        <w:rPr>
          <w:rFonts w:hint="eastAsia"/>
        </w:rPr>
        <w:t>赛前科学运动指导；</w:t>
      </w:r>
    </w:p>
    <w:p>
      <w:pPr>
        <w:pStyle w:val="55"/>
        <w:numPr>
          <w:ilvl w:val="0"/>
          <w:numId w:val="15"/>
        </w:numPr>
        <w:ind w:left="840" w:leftChars="200" w:hanging="420" w:hangingChars="200"/>
      </w:pPr>
      <w:r>
        <w:rPr>
          <w:rFonts w:hint="eastAsia"/>
        </w:rPr>
        <w:t>赛中身体健康监控；</w:t>
      </w:r>
    </w:p>
    <w:p>
      <w:pPr>
        <w:pStyle w:val="55"/>
        <w:numPr>
          <w:ilvl w:val="0"/>
          <w:numId w:val="15"/>
        </w:numPr>
        <w:ind w:left="840" w:leftChars="200" w:hanging="420" w:hangingChars="200"/>
      </w:pPr>
      <w:r>
        <w:rPr>
          <w:rFonts w:hint="eastAsia"/>
        </w:rPr>
        <w:t>协助承担应急救援工作；</w:t>
      </w:r>
    </w:p>
    <w:p>
      <w:pPr>
        <w:pStyle w:val="55"/>
        <w:numPr>
          <w:ilvl w:val="0"/>
          <w:numId w:val="15"/>
        </w:numPr>
        <w:ind w:left="840" w:leftChars="200" w:hanging="420" w:hangingChars="200"/>
      </w:pPr>
      <w:r>
        <w:rPr>
          <w:rFonts w:hint="eastAsia"/>
        </w:rPr>
        <w:t>赛后恢复策略。</w:t>
      </w:r>
    </w:p>
    <w:p>
      <w:pPr>
        <w:pStyle w:val="66"/>
        <w:spacing w:before="312" w:after="312"/>
      </w:pPr>
      <w:bookmarkStart w:id="105" w:name="_Toc182038352"/>
      <w:bookmarkStart w:id="106" w:name="_Toc180662685"/>
      <w:bookmarkStart w:id="107" w:name="_Toc180662475"/>
      <w:r>
        <w:rPr>
          <w:rFonts w:hint="eastAsia"/>
        </w:rPr>
        <w:t>服务流程</w:t>
      </w:r>
      <w:bookmarkEnd w:id="105"/>
      <w:bookmarkEnd w:id="106"/>
      <w:bookmarkEnd w:id="107"/>
    </w:p>
    <w:p>
      <w:pPr>
        <w:pStyle w:val="65"/>
        <w:spacing w:before="156" w:after="156"/>
      </w:pPr>
      <w:bookmarkStart w:id="108" w:name="_Toc180662476"/>
      <w:bookmarkStart w:id="109" w:name="_Toc180662686"/>
      <w:bookmarkStart w:id="110" w:name="_Toc182038353"/>
      <w:r>
        <w:rPr>
          <w:rFonts w:hint="eastAsia"/>
        </w:rPr>
        <w:t>运动前健康筛查</w:t>
      </w:r>
      <w:bookmarkEnd w:id="108"/>
      <w:bookmarkEnd w:id="109"/>
      <w:bookmarkEnd w:id="110"/>
    </w:p>
    <w:p>
      <w:pPr>
        <w:pStyle w:val="68"/>
      </w:pPr>
      <w:r>
        <w:rPr>
          <w:rFonts w:hint="eastAsia"/>
        </w:rPr>
        <w:t>做好服务对象的登记工作，基本信息应包括服务对象的姓名、身份证号码、手机号、性别、年龄等，保证信息准确，建立信息库。</w:t>
      </w:r>
    </w:p>
    <w:p>
      <w:pPr>
        <w:pStyle w:val="68"/>
      </w:pPr>
      <w:r>
        <w:rPr>
          <w:rFonts w:hint="eastAsia"/>
        </w:rPr>
        <w:t>获取服务对象的医学检查信息，并进行风险评估。</w:t>
      </w:r>
    </w:p>
    <w:p>
      <w:pPr>
        <w:pStyle w:val="68"/>
      </w:pPr>
      <w:r>
        <w:rPr>
          <w:rFonts w:hint="eastAsia"/>
        </w:rPr>
        <w:t>运动能力评估前应完成问卷调查（见附录</w:t>
      </w:r>
      <w:r>
        <w:t>B</w:t>
      </w:r>
      <w:r>
        <w:rPr>
          <w:rFonts w:hint="eastAsia"/>
        </w:rPr>
        <w:t>）。</w:t>
      </w:r>
    </w:p>
    <w:p>
      <w:pPr>
        <w:pStyle w:val="68"/>
      </w:pPr>
      <w:r>
        <w:rPr>
          <w:rFonts w:hint="eastAsia"/>
        </w:rPr>
        <w:t>告知运动能力评估的意义、风险及注意事项并签署知情同意书（见附录</w:t>
      </w:r>
      <w:r>
        <w:t>C</w:t>
      </w:r>
      <w:r>
        <w:rPr>
          <w:rFonts w:hint="eastAsia"/>
        </w:rPr>
        <w:t>）。</w:t>
      </w:r>
    </w:p>
    <w:p>
      <w:pPr>
        <w:pStyle w:val="68"/>
      </w:pPr>
      <w:r>
        <w:rPr>
          <w:rFonts w:hint="eastAsia"/>
        </w:rPr>
        <w:t>在运动处方制定前应完成运动能力评估。</w:t>
      </w:r>
    </w:p>
    <w:p>
      <w:pPr>
        <w:pStyle w:val="65"/>
        <w:spacing w:before="156" w:after="156"/>
      </w:pPr>
      <w:bookmarkStart w:id="111" w:name="_Toc180662687"/>
      <w:bookmarkStart w:id="112" w:name="_Toc180662477"/>
      <w:bookmarkStart w:id="113" w:name="_Toc182038354"/>
      <w:r>
        <w:rPr>
          <w:rFonts w:hint="eastAsia"/>
        </w:rPr>
        <w:t>运动处方开具</w:t>
      </w:r>
      <w:bookmarkEnd w:id="111"/>
      <w:bookmarkEnd w:id="112"/>
      <w:bookmarkEnd w:id="113"/>
    </w:p>
    <w:p>
      <w:pPr>
        <w:pStyle w:val="68"/>
      </w:pPr>
      <w:r>
        <w:rPr>
          <w:rFonts w:hint="eastAsia"/>
        </w:rPr>
        <w:t>运动处方应由运动处方师开具。</w:t>
      </w:r>
    </w:p>
    <w:p>
      <w:pPr>
        <w:pStyle w:val="68"/>
      </w:pPr>
      <w:r>
        <w:rPr>
          <w:rFonts w:hint="eastAsia"/>
        </w:rPr>
        <w:t>向服务对象告知运动目的、训练内容、时间长度。</w:t>
      </w:r>
    </w:p>
    <w:p>
      <w:pPr>
        <w:pStyle w:val="68"/>
      </w:pPr>
      <w:r>
        <w:rPr>
          <w:rFonts w:hint="eastAsia"/>
        </w:rPr>
        <w:t>运动处方内容应包含热身、整理和拉伸的训练内容。</w:t>
      </w:r>
    </w:p>
    <w:p>
      <w:pPr>
        <w:pStyle w:val="68"/>
      </w:pPr>
      <w:r>
        <w:rPr>
          <w:rFonts w:hint="eastAsia"/>
        </w:rPr>
        <w:t>运动处方制定宜考虑运动频率、强度、时间、方式、负荷量和进阶。</w:t>
      </w:r>
    </w:p>
    <w:p>
      <w:pPr>
        <w:pStyle w:val="68"/>
      </w:pPr>
      <w:r>
        <w:rPr>
          <w:rFonts w:hint="eastAsia"/>
        </w:rPr>
        <w:t>运动处方制定应考虑服务对象的健康状况、运动环境、运动器材设施、日程安排以及运动安全和风险防范提示。</w:t>
      </w:r>
    </w:p>
    <w:p>
      <w:pPr>
        <w:pStyle w:val="68"/>
      </w:pPr>
      <w:r>
        <w:rPr>
          <w:rFonts w:hint="eastAsia"/>
        </w:rPr>
        <w:t>服务人员应对服务对象的服务期内各阶段进行监控和指导，内容包括但不限于心率、血压、用药信息、疾病信息、心血管疾病风险等</w:t>
      </w:r>
      <w:r>
        <w:rPr>
          <w:rFonts w:hint="eastAsia"/>
          <w:lang w:eastAsia="zh-CN"/>
        </w:rPr>
        <w:t>。</w:t>
      </w:r>
    </w:p>
    <w:p>
      <w:pPr>
        <w:pStyle w:val="68"/>
      </w:pPr>
      <w:r>
        <w:rPr>
          <w:rFonts w:hint="eastAsia"/>
        </w:rPr>
        <w:t>应对服务对象的医疗指标或运动能力指标进行复测，做出效果评价并告知服务对象</w:t>
      </w:r>
      <w:r>
        <w:rPr>
          <w:rFonts w:hint="eastAsia"/>
          <w:lang w:eastAsia="zh-CN"/>
        </w:rPr>
        <w:t>。</w:t>
      </w:r>
    </w:p>
    <w:p>
      <w:pPr>
        <w:pStyle w:val="68"/>
      </w:pPr>
      <w:r>
        <w:rPr>
          <w:rFonts w:hint="eastAsia"/>
        </w:rPr>
        <w:t>根据运动过程监控内容和运动效果评价指标动态调整运动处方。</w:t>
      </w:r>
    </w:p>
    <w:p>
      <w:pPr>
        <w:pStyle w:val="65"/>
        <w:spacing w:before="156" w:after="156"/>
      </w:pPr>
      <w:bookmarkStart w:id="114" w:name="_Toc182038355"/>
      <w:bookmarkStart w:id="115" w:name="_Toc180662478"/>
      <w:bookmarkStart w:id="116" w:name="_Toc180662688"/>
      <w:r>
        <w:rPr>
          <w:rFonts w:hint="eastAsia"/>
        </w:rPr>
        <w:t>科学健身指导</w:t>
      </w:r>
      <w:bookmarkEnd w:id="114"/>
      <w:bookmarkEnd w:id="115"/>
      <w:bookmarkEnd w:id="116"/>
    </w:p>
    <w:p>
      <w:pPr>
        <w:pStyle w:val="68"/>
      </w:pPr>
      <w:r>
        <w:rPr>
          <w:rFonts w:hint="eastAsia"/>
        </w:rPr>
        <w:t>根据运动处方提供运动技术指导和纠正错误动作。</w:t>
      </w:r>
    </w:p>
    <w:p>
      <w:pPr>
        <w:pStyle w:val="68"/>
      </w:pPr>
      <w:r>
        <w:rPr>
          <w:rFonts w:hint="eastAsia"/>
        </w:rPr>
        <w:t>根据各阶段运动健身情况给出饮食、睡眠、恢复等方面的建议。</w:t>
      </w:r>
    </w:p>
    <w:p>
      <w:pPr>
        <w:pStyle w:val="65"/>
        <w:spacing w:before="156" w:after="156"/>
      </w:pPr>
      <w:bookmarkStart w:id="117" w:name="_Toc182038356"/>
      <w:bookmarkStart w:id="118" w:name="_Toc180662689"/>
      <w:bookmarkStart w:id="119" w:name="_Toc180662479"/>
      <w:r>
        <w:rPr>
          <w:rFonts w:hint="eastAsia"/>
        </w:rPr>
        <w:t>运动康复训练</w:t>
      </w:r>
      <w:bookmarkEnd w:id="117"/>
      <w:bookmarkEnd w:id="118"/>
      <w:bookmarkEnd w:id="119"/>
    </w:p>
    <w:p>
      <w:pPr>
        <w:pStyle w:val="68"/>
      </w:pPr>
      <w:r>
        <w:rPr>
          <w:rFonts w:hint="eastAsia"/>
        </w:rPr>
        <w:t>指导服务对象正确使用健身器械，做动作示范，讲解动作要点。</w:t>
      </w:r>
    </w:p>
    <w:p>
      <w:pPr>
        <w:pStyle w:val="68"/>
      </w:pPr>
      <w:r>
        <w:rPr>
          <w:rFonts w:hint="eastAsia"/>
        </w:rPr>
        <w:t>监控服务对象训练过程，及时调整训练强度和动作难度。</w:t>
      </w:r>
    </w:p>
    <w:p>
      <w:pPr>
        <w:pStyle w:val="68"/>
      </w:pPr>
      <w:r>
        <w:rPr>
          <w:rFonts w:hint="eastAsia"/>
        </w:rPr>
        <w:t>根据服务对象的身体反应和训练剂量，及时给予反馈。</w:t>
      </w:r>
    </w:p>
    <w:p>
      <w:pPr>
        <w:pStyle w:val="65"/>
        <w:spacing w:before="156" w:after="156"/>
      </w:pPr>
      <w:bookmarkStart w:id="120" w:name="_Toc180662690"/>
      <w:bookmarkStart w:id="121" w:name="_Toc182038357"/>
      <w:bookmarkStart w:id="122" w:name="_Toc180662480"/>
      <w:r>
        <w:rPr>
          <w:rFonts w:hint="eastAsia"/>
        </w:rPr>
        <w:t>科学健身知识宣讲</w:t>
      </w:r>
      <w:bookmarkEnd w:id="120"/>
      <w:bookmarkEnd w:id="121"/>
      <w:bookmarkEnd w:id="122"/>
    </w:p>
    <w:p>
      <w:pPr>
        <w:pStyle w:val="68"/>
      </w:pPr>
      <w:r>
        <w:rPr>
          <w:rFonts w:hint="eastAsia"/>
        </w:rPr>
        <w:t>确定宣讲主题，收集相关资料，制作宣讲材料，招募参与人员，准备场地和设备。</w:t>
      </w:r>
    </w:p>
    <w:p>
      <w:pPr>
        <w:pStyle w:val="68"/>
      </w:pPr>
      <w:r>
        <w:rPr>
          <w:rFonts w:hint="eastAsia"/>
        </w:rPr>
        <w:t>宣讲时介绍主题和流程，宜采用基础知识讲解和实践演示结合方式进行科学健身宣讲。</w:t>
      </w:r>
    </w:p>
    <w:p>
      <w:pPr>
        <w:pStyle w:val="68"/>
      </w:pPr>
      <w:r>
        <w:rPr>
          <w:rFonts w:hint="eastAsia"/>
        </w:rPr>
        <w:t>宜设置问答题，鼓励参与人员提出问题并解答和说明。</w:t>
      </w:r>
    </w:p>
    <w:p>
      <w:pPr>
        <w:pStyle w:val="68"/>
      </w:pPr>
      <w:r>
        <w:rPr>
          <w:rFonts w:hint="eastAsia"/>
        </w:rPr>
        <w:t>总结宣讲内容，收集参与人员的意见反馈，提供咨询和支持。</w:t>
      </w:r>
    </w:p>
    <w:p>
      <w:pPr>
        <w:pStyle w:val="65"/>
        <w:spacing w:before="156" w:after="156"/>
      </w:pPr>
      <w:bookmarkStart w:id="123" w:name="_Toc180662481"/>
      <w:bookmarkStart w:id="124" w:name="_Toc180662691"/>
      <w:bookmarkStart w:id="125" w:name="_Toc182038358"/>
      <w:r>
        <w:rPr>
          <w:rFonts w:hint="eastAsia"/>
        </w:rPr>
        <w:t>体育赛事活动保障</w:t>
      </w:r>
      <w:bookmarkEnd w:id="123"/>
      <w:bookmarkEnd w:id="124"/>
      <w:bookmarkEnd w:id="125"/>
    </w:p>
    <w:p>
      <w:pPr>
        <w:pStyle w:val="69"/>
        <w:spacing w:before="156" w:after="156"/>
      </w:pPr>
      <w:bookmarkStart w:id="126" w:name="_Toc182038359"/>
      <w:r>
        <w:rPr>
          <w:rFonts w:hint="eastAsia"/>
        </w:rPr>
        <w:t>赛前阶段</w:t>
      </w:r>
      <w:bookmarkEnd w:id="126"/>
    </w:p>
    <w:p>
      <w:pPr>
        <w:pStyle w:val="86"/>
        <w:numPr>
          <w:ilvl w:val="4"/>
          <w:numId w:val="8"/>
        </w:numPr>
      </w:pPr>
      <w:r>
        <w:rPr>
          <w:rFonts w:hint="eastAsia"/>
        </w:rPr>
        <w:t>指导参赛人员填写健康问卷，包括既往病史、近期身体状况、运动习惯等。</w:t>
      </w:r>
    </w:p>
    <w:p>
      <w:pPr>
        <w:pStyle w:val="86"/>
        <w:numPr>
          <w:ilvl w:val="4"/>
          <w:numId w:val="8"/>
        </w:numPr>
      </w:pPr>
      <w:r>
        <w:rPr>
          <w:rFonts w:hint="eastAsia"/>
        </w:rPr>
        <w:t>对参赛人员进行健康筛查和风险评估。</w:t>
      </w:r>
    </w:p>
    <w:p>
      <w:pPr>
        <w:pStyle w:val="86"/>
        <w:numPr>
          <w:ilvl w:val="4"/>
          <w:numId w:val="8"/>
        </w:numPr>
      </w:pPr>
      <w:r>
        <w:rPr>
          <w:rFonts w:hint="eastAsia"/>
        </w:rPr>
        <w:t>对赛事场地安全隐患和运动设施进行检查。</w:t>
      </w:r>
    </w:p>
    <w:p>
      <w:pPr>
        <w:pStyle w:val="86"/>
        <w:numPr>
          <w:ilvl w:val="4"/>
          <w:numId w:val="8"/>
        </w:numPr>
      </w:pPr>
      <w:r>
        <w:rPr>
          <w:rFonts w:hint="eastAsia"/>
        </w:rPr>
        <w:t>赛前做好急救物资准备和应急情况培训，部署救援人员。</w:t>
      </w:r>
    </w:p>
    <w:p>
      <w:pPr>
        <w:pStyle w:val="69"/>
        <w:spacing w:before="156" w:after="156"/>
      </w:pPr>
      <w:bookmarkStart w:id="127" w:name="_Toc182038360"/>
      <w:r>
        <w:rPr>
          <w:rFonts w:hint="eastAsia"/>
        </w:rPr>
        <w:t>赛中阶段</w:t>
      </w:r>
      <w:bookmarkEnd w:id="127"/>
    </w:p>
    <w:p>
      <w:pPr>
        <w:pStyle w:val="86"/>
        <w:numPr>
          <w:ilvl w:val="4"/>
          <w:numId w:val="8"/>
        </w:numPr>
      </w:pPr>
      <w:r>
        <w:rPr>
          <w:rFonts w:hint="eastAsia"/>
        </w:rPr>
        <w:t>现场为参赛人员进行生命体征监测，沿线观察参赛人员运动状态。</w:t>
      </w:r>
    </w:p>
    <w:p>
      <w:pPr>
        <w:pStyle w:val="86"/>
        <w:numPr>
          <w:ilvl w:val="4"/>
          <w:numId w:val="8"/>
        </w:numPr>
      </w:pPr>
      <w:r>
        <w:rPr>
          <w:rFonts w:hint="eastAsia"/>
        </w:rPr>
        <w:t>为参赛人员提供能量补给指导。</w:t>
      </w:r>
    </w:p>
    <w:p>
      <w:pPr>
        <w:pStyle w:val="69"/>
        <w:spacing w:before="156" w:after="156"/>
      </w:pPr>
      <w:bookmarkStart w:id="128" w:name="_Toc182038361"/>
      <w:r>
        <w:rPr>
          <w:rFonts w:hint="eastAsia"/>
        </w:rPr>
        <w:t>赛后阶段</w:t>
      </w:r>
      <w:bookmarkEnd w:id="128"/>
    </w:p>
    <w:p>
      <w:pPr>
        <w:pStyle w:val="86"/>
        <w:numPr>
          <w:ilvl w:val="4"/>
          <w:numId w:val="8"/>
        </w:numPr>
      </w:pPr>
      <w:r>
        <w:rPr>
          <w:rFonts w:hint="eastAsia"/>
        </w:rPr>
        <w:t>为参赛人员提供放松和康复服务、放松指导和康复建议，包括拉伸、按摩、饮食调整、休息安排等。</w:t>
      </w:r>
    </w:p>
    <w:p>
      <w:pPr>
        <w:pStyle w:val="86"/>
        <w:numPr>
          <w:ilvl w:val="4"/>
          <w:numId w:val="8"/>
        </w:numPr>
      </w:pPr>
      <w:r>
        <w:rPr>
          <w:rFonts w:hint="eastAsia"/>
        </w:rPr>
        <w:t>收集和分析赛事数据，进行保障工作评估，总结经验。</w:t>
      </w:r>
    </w:p>
    <w:p>
      <w:pPr>
        <w:pStyle w:val="66"/>
        <w:spacing w:before="312" w:after="312"/>
      </w:pPr>
      <w:bookmarkStart w:id="129" w:name="_Toc180662692"/>
      <w:bookmarkStart w:id="130" w:name="_Toc180662482"/>
      <w:bookmarkStart w:id="131" w:name="_Toc182038362"/>
      <w:r>
        <w:rPr>
          <w:rFonts w:hint="eastAsia"/>
        </w:rPr>
        <w:t>综合管理</w:t>
      </w:r>
      <w:bookmarkEnd w:id="129"/>
      <w:bookmarkEnd w:id="130"/>
      <w:bookmarkEnd w:id="131"/>
    </w:p>
    <w:p>
      <w:pPr>
        <w:pStyle w:val="65"/>
        <w:spacing w:before="156" w:after="156"/>
      </w:pPr>
      <w:bookmarkStart w:id="132" w:name="_Toc180662693"/>
      <w:bookmarkStart w:id="133" w:name="_Toc180662483"/>
      <w:bookmarkStart w:id="134" w:name="_Toc182038363"/>
      <w:r>
        <w:rPr>
          <w:rFonts w:hint="eastAsia"/>
        </w:rPr>
        <w:t>设施设备管理</w:t>
      </w:r>
      <w:bookmarkEnd w:id="132"/>
      <w:bookmarkEnd w:id="133"/>
      <w:bookmarkEnd w:id="134"/>
    </w:p>
    <w:p>
      <w:pPr>
        <w:pStyle w:val="68"/>
      </w:pPr>
      <w:r>
        <w:rPr>
          <w:rFonts w:hint="eastAsia"/>
        </w:rPr>
        <w:t>应建立设施设备管理制度，包括物资采购，设施设备检查维修和报废等，设施设备配置符合DB3205/T XXXX的要求。</w:t>
      </w:r>
    </w:p>
    <w:p>
      <w:pPr>
        <w:pStyle w:val="68"/>
      </w:pPr>
      <w:r>
        <w:rPr>
          <w:rFonts w:hint="eastAsia"/>
        </w:rPr>
        <w:t>应配置设施设备管理和维护的专业部门或专业岗位，明确其岗位职责。设施设备管理、维护和保养等活动应形成记录。</w:t>
      </w:r>
    </w:p>
    <w:p>
      <w:pPr>
        <w:pStyle w:val="68"/>
      </w:pPr>
      <w:r>
        <w:rPr>
          <w:rFonts w:hint="eastAsia"/>
        </w:rPr>
        <w:t>应建立器材设备检测和维修的快速反应机制，对于破损或损坏设备应及时维修更换，不能及时维修更换的应标明停用标识，提醒服务对象。各种电器、机械设备应保持良好状态，随时启用。</w:t>
      </w:r>
    </w:p>
    <w:p>
      <w:pPr>
        <w:pStyle w:val="68"/>
      </w:pPr>
      <w:r>
        <w:rPr>
          <w:rFonts w:hint="eastAsia"/>
        </w:rPr>
        <w:t>应配备相应的保洁人员定期对中心进行打扫和清洁，场地功能区及相应设备清洁消毒。</w:t>
      </w:r>
    </w:p>
    <w:p>
      <w:pPr>
        <w:pStyle w:val="65"/>
        <w:spacing w:before="156" w:after="156"/>
      </w:pPr>
      <w:bookmarkStart w:id="135" w:name="_Toc180662484"/>
      <w:bookmarkStart w:id="136" w:name="_Toc182038364"/>
      <w:bookmarkStart w:id="137" w:name="_Toc180662694"/>
      <w:r>
        <w:rPr>
          <w:rFonts w:hint="eastAsia"/>
        </w:rPr>
        <w:t>安全应急管理</w:t>
      </w:r>
      <w:bookmarkEnd w:id="135"/>
      <w:bookmarkEnd w:id="136"/>
      <w:bookmarkEnd w:id="137"/>
    </w:p>
    <w:p>
      <w:pPr>
        <w:pStyle w:val="69"/>
        <w:spacing w:before="156" w:after="156"/>
      </w:pPr>
      <w:bookmarkStart w:id="138" w:name="_Toc182038365"/>
      <w:r>
        <w:rPr>
          <w:rFonts w:hint="eastAsia"/>
        </w:rPr>
        <w:t>安全</w:t>
      </w:r>
      <w:bookmarkEnd w:id="138"/>
    </w:p>
    <w:p>
      <w:pPr>
        <w:pStyle w:val="86"/>
        <w:numPr>
          <w:ilvl w:val="4"/>
          <w:numId w:val="8"/>
        </w:numPr>
      </w:pPr>
      <w:r>
        <w:rPr>
          <w:rFonts w:hint="eastAsia"/>
        </w:rPr>
        <w:t>对服务对象开展健康体适能测试前应采取以下保护措施：</w:t>
      </w:r>
    </w:p>
    <w:p>
      <w:pPr>
        <w:pStyle w:val="84"/>
        <w:numPr>
          <w:ilvl w:val="0"/>
          <w:numId w:val="4"/>
        </w:numPr>
        <w:ind w:left="851" w:hanging="426"/>
      </w:pPr>
      <w:r>
        <w:rPr>
          <w:rFonts w:hint="eastAsia"/>
        </w:rPr>
        <w:t>应进行运动前医学评价与风险评估；</w:t>
      </w:r>
    </w:p>
    <w:p>
      <w:pPr>
        <w:pStyle w:val="84"/>
        <w:numPr>
          <w:ilvl w:val="0"/>
          <w:numId w:val="4"/>
        </w:numPr>
        <w:ind w:left="851" w:hanging="426"/>
      </w:pPr>
      <w:r>
        <w:rPr>
          <w:rFonts w:hint="eastAsia"/>
        </w:rPr>
        <w:t>应做好急救设备及人员的准备工作；</w:t>
      </w:r>
    </w:p>
    <w:p>
      <w:pPr>
        <w:pStyle w:val="84"/>
        <w:numPr>
          <w:ilvl w:val="0"/>
          <w:numId w:val="4"/>
        </w:numPr>
        <w:ind w:left="851" w:hanging="426"/>
      </w:pPr>
      <w:r>
        <w:rPr>
          <w:rFonts w:hint="eastAsia"/>
        </w:rPr>
        <w:t>应充分告知服务对象相关风险。</w:t>
      </w:r>
    </w:p>
    <w:p>
      <w:pPr>
        <w:pStyle w:val="86"/>
        <w:numPr>
          <w:ilvl w:val="4"/>
          <w:numId w:val="8"/>
        </w:numPr>
      </w:pPr>
      <w:r>
        <w:rPr>
          <w:rFonts w:hint="eastAsia"/>
        </w:rPr>
        <w:t>对服务对象开展健康体适能测试应采取以下保护措施：</w:t>
      </w:r>
    </w:p>
    <w:p>
      <w:pPr>
        <w:pStyle w:val="84"/>
        <w:numPr>
          <w:ilvl w:val="0"/>
          <w:numId w:val="4"/>
        </w:numPr>
        <w:ind w:left="851" w:hanging="426"/>
      </w:pPr>
      <w:r>
        <w:rPr>
          <w:rFonts w:hint="eastAsia"/>
        </w:rPr>
        <w:t>心肺耐力测试前应对有运动风险的服务对象进行运动心电、运动血压监护；</w:t>
      </w:r>
    </w:p>
    <w:p>
      <w:pPr>
        <w:pStyle w:val="84"/>
        <w:numPr>
          <w:ilvl w:val="0"/>
          <w:numId w:val="4"/>
        </w:numPr>
        <w:ind w:left="851" w:hanging="426"/>
      </w:pPr>
      <w:r>
        <w:rPr>
          <w:rFonts w:hint="eastAsia"/>
        </w:rPr>
        <w:t>柔韧测试前应先询问服务对象各部位是否有受伤；</w:t>
      </w:r>
    </w:p>
    <w:p>
      <w:pPr>
        <w:pStyle w:val="84"/>
        <w:numPr>
          <w:ilvl w:val="0"/>
          <w:numId w:val="4"/>
        </w:numPr>
        <w:ind w:left="851" w:hanging="426"/>
      </w:pPr>
      <w:r>
        <w:rPr>
          <w:rFonts w:hint="eastAsia"/>
        </w:rPr>
        <w:t>平衡能力测试应对服务对象进行防摔倒保护；</w:t>
      </w:r>
    </w:p>
    <w:p>
      <w:pPr>
        <w:pStyle w:val="84"/>
        <w:numPr>
          <w:ilvl w:val="0"/>
          <w:numId w:val="4"/>
        </w:numPr>
        <w:ind w:left="851" w:hanging="426"/>
      </w:pPr>
      <w:r>
        <w:rPr>
          <w:rFonts w:hint="eastAsia"/>
        </w:rPr>
        <w:t>以科研为目的的项目应事先征求服务对象意见，签署知情同意书。</w:t>
      </w:r>
      <w:bookmarkStart w:id="158" w:name="_GoBack"/>
      <w:bookmarkEnd w:id="158"/>
    </w:p>
    <w:p>
      <w:pPr>
        <w:pStyle w:val="86"/>
        <w:numPr>
          <w:ilvl w:val="4"/>
          <w:numId w:val="8"/>
        </w:numPr>
      </w:pPr>
      <w:r>
        <w:rPr>
          <w:rFonts w:hint="eastAsia"/>
        </w:rPr>
        <w:t>指导服务对象开展运动健康干预中应采取包括但不限于以下保护措施：</w:t>
      </w:r>
    </w:p>
    <w:p>
      <w:pPr>
        <w:pStyle w:val="84"/>
        <w:numPr>
          <w:ilvl w:val="0"/>
          <w:numId w:val="4"/>
        </w:numPr>
        <w:ind w:left="851" w:hanging="426"/>
      </w:pPr>
      <w:r>
        <w:rPr>
          <w:rFonts w:hint="eastAsia"/>
        </w:rPr>
        <w:t>超重或肥胖人群不宜进行竞技类和负重类运动，以降低发生骨关节及软组织损伤发生风险；</w:t>
      </w:r>
    </w:p>
    <w:p>
      <w:pPr>
        <w:pStyle w:val="84"/>
        <w:numPr>
          <w:ilvl w:val="0"/>
          <w:numId w:val="4"/>
        </w:numPr>
        <w:ind w:left="851" w:hanging="426"/>
      </w:pPr>
      <w:r>
        <w:rPr>
          <w:rFonts w:hint="eastAsia"/>
        </w:rPr>
        <w:t>心脑血管疾病人群，监控运动全过程变化情况。</w:t>
      </w:r>
    </w:p>
    <w:p>
      <w:pPr>
        <w:pStyle w:val="86"/>
        <w:numPr>
          <w:ilvl w:val="4"/>
          <w:numId w:val="8"/>
        </w:numPr>
      </w:pPr>
      <w:r>
        <w:rPr>
          <w:rFonts w:hint="eastAsia"/>
        </w:rPr>
        <w:t>应对服务对象采取以下隐私保护措施：</w:t>
      </w:r>
    </w:p>
    <w:p>
      <w:pPr>
        <w:pStyle w:val="84"/>
        <w:numPr>
          <w:ilvl w:val="0"/>
          <w:numId w:val="4"/>
        </w:numPr>
        <w:ind w:left="851" w:hanging="426"/>
      </w:pPr>
      <w:r>
        <w:rPr>
          <w:rFonts w:hint="eastAsia"/>
        </w:rPr>
        <w:t>运动心电、脊柱4D等需暴露身体的检查，应有单独诊室及更衣区，检查时关门或有遮挡；</w:t>
      </w:r>
    </w:p>
    <w:p>
      <w:pPr>
        <w:pStyle w:val="84"/>
        <w:numPr>
          <w:ilvl w:val="0"/>
          <w:numId w:val="4"/>
        </w:numPr>
        <w:ind w:left="851" w:hanging="426"/>
      </w:pPr>
      <w:r>
        <w:rPr>
          <w:rFonts w:hint="eastAsia"/>
        </w:rPr>
        <w:t>对服务对象的信息隐私进行保护。</w:t>
      </w:r>
    </w:p>
    <w:p>
      <w:pPr>
        <w:pStyle w:val="86"/>
        <w:numPr>
          <w:ilvl w:val="4"/>
          <w:numId w:val="8"/>
        </w:numPr>
      </w:pPr>
      <w:r>
        <w:rPr>
          <w:rFonts w:hint="eastAsia"/>
        </w:rPr>
        <w:t>每天在对外运营前，应对场地及器材设施进行安全检查，非运营时间应安排专职的值班人员。</w:t>
      </w:r>
    </w:p>
    <w:p>
      <w:pPr>
        <w:pStyle w:val="69"/>
        <w:spacing w:before="156" w:after="156"/>
      </w:pPr>
      <w:bookmarkStart w:id="139" w:name="_Toc182038366"/>
      <w:r>
        <w:rPr>
          <w:rFonts w:hint="eastAsia"/>
        </w:rPr>
        <w:t>应急</w:t>
      </w:r>
      <w:bookmarkEnd w:id="139"/>
    </w:p>
    <w:p>
      <w:pPr>
        <w:pStyle w:val="86"/>
        <w:numPr>
          <w:ilvl w:val="4"/>
          <w:numId w:val="8"/>
        </w:numPr>
      </w:pPr>
      <w:r>
        <w:rPr>
          <w:rFonts w:hint="eastAsia"/>
        </w:rPr>
        <w:t>发现服务对象出现急危重症，经评估需要转往医疗机构救治时，应及时拨打120，并通知紧急联系人。</w:t>
      </w:r>
    </w:p>
    <w:p>
      <w:pPr>
        <w:pStyle w:val="86"/>
        <w:numPr>
          <w:ilvl w:val="4"/>
          <w:numId w:val="8"/>
        </w:numPr>
      </w:pPr>
      <w:r>
        <w:rPr>
          <w:rFonts w:hint="eastAsia"/>
        </w:rPr>
        <w:t>对突发事件紧急疏散、意外伤害事故处理、火灾事故、停电事故、电梯故障事故，溺水事故、公众打架斗殴事件、贵重财物丢失等事项制定应急预案，并组织演练。</w:t>
      </w:r>
    </w:p>
    <w:p>
      <w:pPr>
        <w:pStyle w:val="86"/>
        <w:numPr>
          <w:ilvl w:val="4"/>
          <w:numId w:val="8"/>
        </w:numPr>
      </w:pPr>
      <w:r>
        <w:rPr>
          <w:rFonts w:hint="eastAsia"/>
        </w:rPr>
        <w:t>应识别服务对象在参与健身活动，使用体育设施设备过程中，可能带来的潜在危险（风险），进行风险等级划分，采取预防措施和补救措施。</w:t>
      </w:r>
    </w:p>
    <w:p>
      <w:pPr>
        <w:pStyle w:val="86"/>
        <w:numPr>
          <w:ilvl w:val="4"/>
          <w:numId w:val="8"/>
        </w:numPr>
      </w:pPr>
      <w:r>
        <w:rPr>
          <w:rFonts w:hint="eastAsia"/>
        </w:rPr>
        <w:t>实际容纳的服务对象人数不应超过最大容纳人数，当接近最大容纳人数或高峰期人员相对聚集时，应采取控制和疏散措施，确保安全。</w:t>
      </w:r>
    </w:p>
    <w:p>
      <w:pPr>
        <w:pStyle w:val="86"/>
        <w:numPr>
          <w:ilvl w:val="4"/>
          <w:numId w:val="8"/>
        </w:numPr>
      </w:pPr>
      <w:r>
        <w:rPr>
          <w:rFonts w:hint="eastAsia"/>
        </w:rPr>
        <w:t>应有覆盖全部区域的应急广播系统，并配置专人值守。</w:t>
      </w:r>
    </w:p>
    <w:p>
      <w:pPr>
        <w:pStyle w:val="65"/>
        <w:spacing w:before="156" w:after="156"/>
      </w:pPr>
      <w:bookmarkStart w:id="140" w:name="_Toc180662695"/>
      <w:bookmarkStart w:id="141" w:name="_Toc182038367"/>
      <w:bookmarkStart w:id="142" w:name="_Toc180662485"/>
      <w:r>
        <w:rPr>
          <w:rFonts w:hint="eastAsia"/>
        </w:rPr>
        <w:t>信息档案管理</w:t>
      </w:r>
      <w:bookmarkEnd w:id="140"/>
      <w:bookmarkEnd w:id="141"/>
      <w:bookmarkEnd w:id="142"/>
    </w:p>
    <w:p>
      <w:pPr>
        <w:pStyle w:val="68"/>
      </w:pPr>
      <w:r>
        <w:rPr>
          <w:rFonts w:hint="eastAsia"/>
        </w:rPr>
        <w:t>应建立信息公开管理制度，公开服务项目、服务流程、投诉监督管理渠道。</w:t>
      </w:r>
    </w:p>
    <w:p>
      <w:pPr>
        <w:pStyle w:val="68"/>
      </w:pPr>
      <w:r>
        <w:rPr>
          <w:rFonts w:hint="eastAsia"/>
        </w:rPr>
        <w:t>应具有数据交互能力的信息化管理系统。信息化管理系统应具备安全、存储、备份能力，并符合网络安全等级保护制度的要求。</w:t>
      </w:r>
    </w:p>
    <w:p>
      <w:pPr>
        <w:pStyle w:val="68"/>
      </w:pPr>
      <w:r>
        <w:rPr>
          <w:rFonts w:hint="eastAsia"/>
        </w:rPr>
        <w:t>应建立培训、会议、研讨、交流、学习等工作机制。</w:t>
      </w:r>
    </w:p>
    <w:p>
      <w:pPr>
        <w:pStyle w:val="68"/>
      </w:pPr>
      <w:r>
        <w:rPr>
          <w:rFonts w:hint="eastAsia"/>
        </w:rPr>
        <w:t>应建立客户信息档案，宜档案信息化。档案内容包括但不限于客户基本信息、测评结果（筛查结果）、运动处方（指导建议）、服务告知书、服务记录等，档案保管时间应不低于2年。</w:t>
      </w:r>
    </w:p>
    <w:p>
      <w:pPr>
        <w:pStyle w:val="68"/>
      </w:pPr>
      <w:r>
        <w:rPr>
          <w:rFonts w:hint="eastAsia"/>
        </w:rPr>
        <w:t>参与运动健康干预服务的居民电子健康档案完整、连续，每周期年有跟踪和效果评估的动态更新。</w:t>
      </w:r>
    </w:p>
    <w:p>
      <w:pPr>
        <w:pStyle w:val="68"/>
      </w:pPr>
      <w:r>
        <w:rPr>
          <w:rFonts w:hint="eastAsia"/>
        </w:rPr>
        <w:t>应妥善记录服务对象投诉和申诉意见，并按照程序和事件类别进行分层处理，并将处理结果告知服务对象，就投诉和申诉意见的解决或落实情况再次进行问访调查。</w:t>
      </w:r>
    </w:p>
    <w:p>
      <w:pPr>
        <w:pStyle w:val="68"/>
      </w:pPr>
      <w:r>
        <w:rPr>
          <w:rFonts w:hint="eastAsia"/>
        </w:rPr>
        <w:t>应建立服务对象满意度收集、分析的程序和方法，就存在问题和不足之处改进。</w:t>
      </w:r>
    </w:p>
    <w:p>
      <w:pPr>
        <w:pStyle w:val="66"/>
        <w:spacing w:before="312" w:after="312"/>
      </w:pPr>
      <w:bookmarkStart w:id="143" w:name="_Toc180662696"/>
      <w:bookmarkStart w:id="144" w:name="_Toc182038368"/>
      <w:bookmarkStart w:id="145" w:name="_Toc180662486"/>
      <w:r>
        <w:rPr>
          <w:rFonts w:hint="eastAsia"/>
        </w:rPr>
        <w:t>评价与改进</w:t>
      </w:r>
      <w:bookmarkEnd w:id="143"/>
      <w:bookmarkEnd w:id="144"/>
      <w:bookmarkEnd w:id="145"/>
    </w:p>
    <w:p>
      <w:pPr>
        <w:pStyle w:val="64"/>
      </w:pPr>
      <w:r>
        <w:rPr>
          <w:rFonts w:hint="eastAsia"/>
        </w:rPr>
        <w:t>应主动向上级部门汇报运动促进健康中心建设开展情况，并接受监督检查。</w:t>
      </w:r>
    </w:p>
    <w:p>
      <w:pPr>
        <w:pStyle w:val="64"/>
      </w:pPr>
      <w:r>
        <w:rPr>
          <w:rFonts w:hint="eastAsia"/>
        </w:rPr>
        <w:t>应定期开展群众满意度调查、广泛听取意见。针对不满意度评价开展原因分析，制定改进措施并及时整改。</w:t>
      </w:r>
    </w:p>
    <w:p>
      <w:pPr>
        <w:pStyle w:val="64"/>
      </w:pPr>
      <w:r>
        <w:rPr>
          <w:rFonts w:hint="eastAsia"/>
        </w:rPr>
        <w:t>建立投诉反馈渠道，定期分析总结并持续改进。</w:t>
      </w:r>
    </w:p>
    <w:p>
      <w:pPr>
        <w:pStyle w:val="64"/>
      </w:pPr>
      <w:r>
        <w:rPr>
          <w:rFonts w:hint="eastAsia"/>
        </w:rPr>
        <w:t>应建立评价和持续改进机制，建立实施运营服务质量控制制度，包含但不限于：</w:t>
      </w:r>
    </w:p>
    <w:p>
      <w:pPr>
        <w:pStyle w:val="84"/>
        <w:numPr>
          <w:ilvl w:val="0"/>
          <w:numId w:val="4"/>
        </w:numPr>
        <w:ind w:left="851" w:hanging="426"/>
      </w:pPr>
      <w:r>
        <w:rPr>
          <w:rFonts w:hint="eastAsia"/>
        </w:rPr>
        <w:t>对可能发生的运营管理不合格项，采取预防措施；</w:t>
      </w:r>
    </w:p>
    <w:p>
      <w:pPr>
        <w:pStyle w:val="84"/>
        <w:numPr>
          <w:ilvl w:val="0"/>
          <w:numId w:val="4"/>
        </w:numPr>
        <w:ind w:left="851" w:hanging="426"/>
      </w:pPr>
      <w:r>
        <w:rPr>
          <w:rFonts w:hint="eastAsia"/>
        </w:rPr>
        <w:t>对已经发生的运营管理不合格项，采取纠正措施，改进运营服务质量。</w:t>
      </w:r>
    </w:p>
    <w:p>
      <w:pPr>
        <w:pStyle w:val="51"/>
      </w:pPr>
    </w:p>
    <w:p>
      <w:pPr>
        <w:pStyle w:val="51"/>
      </w:pPr>
    </w:p>
    <w:p>
      <w:pPr>
        <w:pStyle w:val="51"/>
        <w:sectPr>
          <w:headerReference r:id="rId18" w:type="default"/>
          <w:footerReference r:id="rId20" w:type="default"/>
          <w:headerReference r:id="rId19" w:type="even"/>
          <w:footerReference r:id="rId21" w:type="even"/>
          <w:pgSz w:w="11906" w:h="16838"/>
          <w:pgMar w:top="1417" w:right="1134" w:bottom="1134" w:left="1418" w:header="1417" w:footer="1134" w:gutter="0"/>
          <w:pgNumType w:start="1"/>
          <w:cols w:space="425" w:num="1"/>
          <w:docGrid w:type="lines" w:linePitch="312" w:charSpace="0"/>
        </w:sectPr>
      </w:pPr>
    </w:p>
    <w:p>
      <w:pPr>
        <w:pStyle w:val="6"/>
        <w:adjustRightInd w:val="0"/>
        <w:snapToGrid w:val="0"/>
        <w:spacing w:before="567"/>
        <w:ind w:firstLine="0"/>
        <w:jc w:val="center"/>
        <w:outlineLvl w:val="0"/>
        <w:rPr>
          <w:rFonts w:ascii="黑体" w:hAnsi="黑体" w:eastAsia="黑体" w:cs="黑体"/>
          <w:szCs w:val="21"/>
        </w:rPr>
      </w:pPr>
      <w:bookmarkStart w:id="146" w:name="_Toc182038369"/>
      <w:bookmarkStart w:id="147" w:name="_Toc27120"/>
      <w:r>
        <w:rPr>
          <w:rFonts w:hint="eastAsia" w:ascii="黑体" w:hAnsi="黑体" w:eastAsia="黑体" w:cs="黑体"/>
          <w:szCs w:val="21"/>
        </w:rPr>
        <w:t>附  录  A</w:t>
      </w:r>
      <w:bookmarkEnd w:id="146"/>
      <w:bookmarkEnd w:id="147"/>
    </w:p>
    <w:p>
      <w:pPr>
        <w:pStyle w:val="7"/>
        <w:jc w:val="center"/>
        <w:outlineLvl w:val="0"/>
        <w:rPr>
          <w:rFonts w:ascii="黑体" w:hAnsi="黑体" w:eastAsia="黑体" w:cs="黑体"/>
          <w:sz w:val="21"/>
          <w:szCs w:val="21"/>
        </w:rPr>
      </w:pPr>
      <w:bookmarkStart w:id="148" w:name="_Toc21414"/>
      <w:bookmarkStart w:id="149" w:name="_Toc23324"/>
      <w:bookmarkStart w:id="150" w:name="_Toc182038370"/>
      <w:r>
        <w:rPr>
          <w:rFonts w:hint="eastAsia" w:ascii="黑体" w:hAnsi="黑体" w:eastAsia="黑体" w:cs="黑体"/>
          <w:sz w:val="21"/>
          <w:szCs w:val="21"/>
        </w:rPr>
        <w:t>（资料性）</w:t>
      </w:r>
      <w:bookmarkEnd w:id="148"/>
      <w:bookmarkEnd w:id="149"/>
      <w:bookmarkEnd w:id="150"/>
    </w:p>
    <w:p>
      <w:pPr>
        <w:pStyle w:val="7"/>
        <w:adjustRightInd w:val="0"/>
        <w:spacing w:after="283"/>
        <w:jc w:val="center"/>
        <w:outlineLvl w:val="0"/>
        <w:rPr>
          <w:rFonts w:ascii="黑体" w:hAnsi="黑体" w:eastAsia="黑体"/>
          <w:color w:val="000000"/>
          <w:sz w:val="21"/>
          <w:szCs w:val="21"/>
        </w:rPr>
      </w:pPr>
      <w:bookmarkStart w:id="151" w:name="_Toc182038371"/>
      <w:bookmarkStart w:id="152" w:name="_Toc13971"/>
      <w:r>
        <w:rPr>
          <w:rFonts w:hint="eastAsia" w:ascii="黑体" w:hAnsi="黑体" w:eastAsia="黑体"/>
          <w:color w:val="000000"/>
          <w:sz w:val="21"/>
          <w:szCs w:val="21"/>
        </w:rPr>
        <w:t>运动促进健康中心运营服务分级内容</w:t>
      </w:r>
      <w:bookmarkEnd w:id="151"/>
      <w:bookmarkEnd w:id="152"/>
    </w:p>
    <w:p>
      <w:pPr>
        <w:pStyle w:val="11"/>
        <w:adjustRightInd w:val="0"/>
        <w:snapToGrid w:val="0"/>
        <w:spacing w:line="240" w:lineRule="auto"/>
      </w:pPr>
      <w:r>
        <w:rPr>
          <w:rFonts w:hint="eastAsia"/>
        </w:rPr>
        <w:t>运动促进健康中心运营服务分级内容见表A.1。</w:t>
      </w:r>
    </w:p>
    <w:p>
      <w:pPr>
        <w:pStyle w:val="60"/>
        <w:numPr>
          <w:ilvl w:val="0"/>
          <w:numId w:val="0"/>
        </w:numPr>
      </w:pPr>
      <w:r>
        <w:rPr>
          <w:rFonts w:hint="eastAsia"/>
        </w:rPr>
        <w:t>表</w:t>
      </w:r>
      <w:r>
        <w:t>A</w:t>
      </w:r>
      <w:r>
        <w:rPr>
          <w:rFonts w:hint="eastAsia"/>
        </w:rPr>
        <w:t>.1  运动促进健康中心运营服务分级内容</w:t>
      </w:r>
    </w:p>
    <w:tbl>
      <w:tblPr>
        <w:tblStyle w:val="21"/>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992"/>
        <w:gridCol w:w="992"/>
        <w:gridCol w:w="9072"/>
        <w:gridCol w:w="992"/>
        <w:gridCol w:w="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53" w:type="dxa"/>
            <w:gridSpan w:val="3"/>
            <w:tcBorders>
              <w:top w:val="single" w:color="000000" w:sz="12" w:space="0"/>
              <w:left w:val="single" w:color="000000" w:sz="12" w:space="0"/>
              <w:bottom w:val="single" w:color="auto" w:sz="12" w:space="0"/>
              <w:right w:val="single" w:color="000000" w:sz="4" w:space="0"/>
              <w:tl2br w:val="nil"/>
            </w:tcBorders>
            <w:shd w:val="clear" w:color="auto" w:fill="FFFFFF"/>
            <w:vAlign w:val="center"/>
          </w:tcPr>
          <w:p>
            <w:pPr>
              <w:pStyle w:val="51"/>
            </w:pPr>
            <w:r>
              <w:rPr>
                <w:rFonts w:hint="eastAsia"/>
              </w:rPr>
              <w:t>项目</w:t>
            </w:r>
          </w:p>
        </w:tc>
        <w:tc>
          <w:tcPr>
            <w:tcW w:w="9072" w:type="dxa"/>
            <w:tcBorders>
              <w:top w:val="single" w:color="000000" w:sz="12" w:space="0"/>
              <w:left w:val="single" w:color="000000" w:sz="4" w:space="0"/>
              <w:bottom w:val="single" w:color="auto" w:sz="12" w:space="0"/>
              <w:right w:val="single" w:color="000000" w:sz="4" w:space="0"/>
            </w:tcBorders>
            <w:shd w:val="clear" w:color="auto" w:fill="FFFFFF"/>
            <w:vAlign w:val="center"/>
          </w:tcPr>
          <w:p>
            <w:pPr>
              <w:pStyle w:val="51"/>
            </w:pPr>
            <w:r>
              <w:rPr>
                <w:rFonts w:hint="eastAsia"/>
              </w:rPr>
              <w:t>服务指标</w:t>
            </w:r>
          </w:p>
        </w:tc>
        <w:tc>
          <w:tcPr>
            <w:tcW w:w="992" w:type="dxa"/>
            <w:tcBorders>
              <w:top w:val="single" w:color="000000" w:sz="12" w:space="0"/>
              <w:left w:val="single" w:color="000000" w:sz="4" w:space="0"/>
              <w:bottom w:val="single" w:color="auto" w:sz="12" w:space="0"/>
              <w:right w:val="single" w:color="auto" w:sz="4" w:space="0"/>
            </w:tcBorders>
            <w:shd w:val="clear" w:color="auto" w:fill="FFFFFF"/>
            <w:vAlign w:val="center"/>
          </w:tcPr>
          <w:p>
            <w:pPr>
              <w:pStyle w:val="51"/>
            </w:pPr>
            <w:r>
              <w:rPr>
                <w:rFonts w:hint="eastAsia"/>
              </w:rPr>
              <w:t>必备条件</w:t>
            </w:r>
          </w:p>
        </w:tc>
        <w:tc>
          <w:tcPr>
            <w:tcW w:w="896" w:type="dxa"/>
            <w:tcBorders>
              <w:top w:val="single" w:color="000000" w:sz="12" w:space="0"/>
              <w:left w:val="single" w:color="auto" w:sz="4" w:space="0"/>
              <w:bottom w:val="single" w:color="auto" w:sz="12" w:space="0"/>
              <w:right w:val="single" w:color="000000" w:sz="12" w:space="0"/>
            </w:tcBorders>
            <w:shd w:val="clear" w:color="auto" w:fill="FFFFFF"/>
            <w:vAlign w:val="center"/>
          </w:tcPr>
          <w:p>
            <w:pPr>
              <w:pStyle w:val="51"/>
            </w:pPr>
            <w:r>
              <w:rPr>
                <w:rFonts w:hint="eastAsia"/>
              </w:rPr>
              <w:t>打分栏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Merge w:val="restart"/>
            <w:tcBorders>
              <w:top w:val="single" w:color="auto" w:sz="12" w:space="0"/>
              <w:left w:val="single" w:color="000000" w:sz="12" w:space="0"/>
              <w:right w:val="single" w:color="000000" w:sz="4" w:space="0"/>
            </w:tcBorders>
            <w:shd w:val="clear" w:color="auto" w:fill="FFFFFF"/>
            <w:vAlign w:val="center"/>
          </w:tcPr>
          <w:p>
            <w:pPr>
              <w:pStyle w:val="51"/>
            </w:pPr>
            <w:r>
              <w:rPr>
                <w:rFonts w:hint="eastAsia"/>
              </w:rPr>
              <w:t>1人员配置（30分）</w:t>
            </w:r>
          </w:p>
        </w:tc>
        <w:tc>
          <w:tcPr>
            <w:tcW w:w="992" w:type="dxa"/>
            <w:vMerge w:val="restart"/>
            <w:tcBorders>
              <w:top w:val="single" w:color="auto" w:sz="12" w:space="0"/>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1.1专业人员</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（20分）</w:t>
            </w:r>
          </w:p>
        </w:tc>
        <w:tc>
          <w:tcPr>
            <w:tcW w:w="992" w:type="dxa"/>
            <w:vMerge w:val="restart"/>
            <w:tcBorders>
              <w:top w:val="single" w:color="auto" w:sz="12" w:space="0"/>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1.1.1医疗机构</w:t>
            </w:r>
          </w:p>
        </w:tc>
        <w:tc>
          <w:tcPr>
            <w:tcW w:w="9072" w:type="dxa"/>
            <w:tcBorders>
              <w:top w:val="single" w:color="auto" w:sz="12"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一级：专（兼）职医生不少于5人，其中具有运动处方师资格的不少于2人；康复治疗技师不少于5人；社会体育指导员不少于5人。</w:t>
            </w:r>
          </w:p>
        </w:tc>
        <w:tc>
          <w:tcPr>
            <w:tcW w:w="992" w:type="dxa"/>
            <w:tcBorders>
              <w:top w:val="single" w:color="auto" w:sz="12" w:space="0"/>
              <w:left w:val="single" w:color="000000" w:sz="4" w:space="0"/>
              <w:bottom w:val="single" w:color="000000" w:sz="4" w:space="0"/>
              <w:right w:val="single" w:color="auto" w:sz="4" w:space="0"/>
            </w:tcBorders>
            <w:shd w:val="clear" w:color="auto" w:fill="FFFFFF"/>
            <w:vAlign w:val="center"/>
          </w:tcPr>
          <w:p>
            <w:pPr>
              <w:pStyle w:val="51"/>
            </w:pPr>
          </w:p>
        </w:tc>
        <w:tc>
          <w:tcPr>
            <w:tcW w:w="896" w:type="dxa"/>
            <w:tcBorders>
              <w:top w:val="single" w:color="auto" w:sz="12"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Merge w:val="continue"/>
            <w:tcBorders>
              <w:left w:val="single" w:color="000000" w:sz="12" w:space="0"/>
              <w:right w:val="single" w:color="000000" w:sz="4" w:space="0"/>
            </w:tcBorders>
            <w:shd w:val="clear" w:color="auto" w:fill="FFFFFF"/>
            <w:vAlign w:val="center"/>
          </w:tcPr>
          <w:p>
            <w:pPr>
              <w:pStyle w:val="51"/>
            </w:pPr>
          </w:p>
        </w:tc>
        <w:tc>
          <w:tcPr>
            <w:tcW w:w="992"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992"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9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二级：专（兼）医生不少于3人，其中具有运动处方师资格的不少于1人；康复治疗技师不少于3人；社会体育指导员不少于3人。</w:t>
            </w:r>
          </w:p>
        </w:tc>
        <w:tc>
          <w:tcPr>
            <w:tcW w:w="992"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pPr>
          </w:p>
        </w:tc>
        <w:tc>
          <w:tcPr>
            <w:tcW w:w="89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9" w:type="dxa"/>
            <w:vMerge w:val="continue"/>
            <w:tcBorders>
              <w:left w:val="single" w:color="000000" w:sz="12" w:space="0"/>
              <w:right w:val="single" w:color="000000" w:sz="4" w:space="0"/>
            </w:tcBorders>
            <w:shd w:val="clear" w:color="auto" w:fill="FFFFFF"/>
            <w:vAlign w:val="center"/>
          </w:tcPr>
          <w:p>
            <w:pPr>
              <w:pStyle w:val="51"/>
            </w:pPr>
          </w:p>
        </w:tc>
        <w:tc>
          <w:tcPr>
            <w:tcW w:w="992"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992" w:type="dxa"/>
            <w:vMerge w:val="continue"/>
            <w:tcBorders>
              <w:left w:val="single" w:color="000000" w:sz="4" w:space="0"/>
              <w:bottom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9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三级：专（兼）职医生不少于1人；康复治疗技师不少于1人；社会体育指导员不少于1人。</w:t>
            </w:r>
          </w:p>
        </w:tc>
        <w:tc>
          <w:tcPr>
            <w:tcW w:w="992"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pPr>
          </w:p>
        </w:tc>
        <w:tc>
          <w:tcPr>
            <w:tcW w:w="89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Merge w:val="continue"/>
            <w:tcBorders>
              <w:left w:val="single" w:color="000000" w:sz="12" w:space="0"/>
              <w:right w:val="single" w:color="000000" w:sz="4" w:space="0"/>
            </w:tcBorders>
            <w:shd w:val="clear" w:color="auto" w:fill="FFFFFF"/>
            <w:vAlign w:val="center"/>
          </w:tcPr>
          <w:p>
            <w:pPr>
              <w:pStyle w:val="51"/>
            </w:pPr>
          </w:p>
        </w:tc>
        <w:tc>
          <w:tcPr>
            <w:tcW w:w="992"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992" w:type="dxa"/>
            <w:vMerge w:val="restart"/>
            <w:tcBorders>
              <w:top w:val="single" w:color="000000" w:sz="4" w:space="0"/>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1.1.2非医疗机构</w:t>
            </w:r>
          </w:p>
        </w:tc>
        <w:tc>
          <w:tcPr>
            <w:tcW w:w="9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一级：具有运动人体科学及相关专业中级及以上职称的专业技术人员不少于5人，康复治疗技师不少于5人；社会体育指导员不少于5人。</w:t>
            </w:r>
          </w:p>
        </w:tc>
        <w:tc>
          <w:tcPr>
            <w:tcW w:w="992"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pPr>
          </w:p>
        </w:tc>
        <w:tc>
          <w:tcPr>
            <w:tcW w:w="89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Merge w:val="continue"/>
            <w:tcBorders>
              <w:left w:val="single" w:color="000000" w:sz="12" w:space="0"/>
              <w:right w:val="single" w:color="000000" w:sz="4" w:space="0"/>
            </w:tcBorders>
            <w:shd w:val="clear" w:color="auto" w:fill="FFFFFF"/>
            <w:vAlign w:val="center"/>
          </w:tcPr>
          <w:p>
            <w:pPr>
              <w:pStyle w:val="51"/>
            </w:pPr>
          </w:p>
        </w:tc>
        <w:tc>
          <w:tcPr>
            <w:tcW w:w="992"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992"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9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二级：具有运动人体科学及相关专业中级及以上职称的专业技术人员不少于3人，康复治疗技师不少于3人；社会体育指导员不少于3人。</w:t>
            </w:r>
          </w:p>
        </w:tc>
        <w:tc>
          <w:tcPr>
            <w:tcW w:w="992"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pPr>
          </w:p>
        </w:tc>
        <w:tc>
          <w:tcPr>
            <w:tcW w:w="89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Merge w:val="continue"/>
            <w:tcBorders>
              <w:left w:val="single" w:color="000000" w:sz="12" w:space="0"/>
              <w:right w:val="single" w:color="000000" w:sz="4" w:space="0"/>
            </w:tcBorders>
            <w:shd w:val="clear" w:color="auto" w:fill="FFFFFF"/>
            <w:vAlign w:val="center"/>
          </w:tcPr>
          <w:p>
            <w:pPr>
              <w:pStyle w:val="51"/>
            </w:pPr>
          </w:p>
        </w:tc>
        <w:tc>
          <w:tcPr>
            <w:tcW w:w="992"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992" w:type="dxa"/>
            <w:vMerge w:val="continue"/>
            <w:tcBorders>
              <w:left w:val="single" w:color="000000" w:sz="4" w:space="0"/>
              <w:bottom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9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三级：具有运动人体科学及相关专业中级及以上职称的专业技术人员不少于1人；康复治疗技师不少于1人；社会体育指导员不少于1人。</w:t>
            </w:r>
          </w:p>
        </w:tc>
        <w:tc>
          <w:tcPr>
            <w:tcW w:w="992"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pPr>
          </w:p>
        </w:tc>
        <w:tc>
          <w:tcPr>
            <w:tcW w:w="89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9" w:type="dxa"/>
            <w:vMerge w:val="continue"/>
            <w:tcBorders>
              <w:left w:val="single" w:color="000000" w:sz="12" w:space="0"/>
              <w:right w:val="single" w:color="000000" w:sz="4" w:space="0"/>
            </w:tcBorders>
            <w:shd w:val="clear" w:color="auto" w:fill="FFFFFF"/>
            <w:vAlign w:val="center"/>
          </w:tcPr>
          <w:p>
            <w:pPr>
              <w:pStyle w:val="51"/>
            </w:pPr>
          </w:p>
        </w:tc>
        <w:tc>
          <w:tcPr>
            <w:tcW w:w="992" w:type="dxa"/>
            <w:vMerge w:val="continue"/>
            <w:tcBorders>
              <w:left w:val="single" w:color="000000" w:sz="4" w:space="0"/>
              <w:bottom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992" w:type="dxa"/>
            <w:tcBorders>
              <w:left w:val="single" w:color="000000" w:sz="4" w:space="0"/>
              <w:bottom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加分</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（20分）</w:t>
            </w:r>
          </w:p>
        </w:tc>
        <w:tc>
          <w:tcPr>
            <w:tcW w:w="9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满足必备条件的基础上，每增加1名医师或具有运动人体科学及相关专业中级及以上职称的专业技术人员，加5分；每增加一名康复治疗师，加5分；每增加一名社会指导员，上限为20分。</w:t>
            </w:r>
          </w:p>
        </w:tc>
        <w:tc>
          <w:tcPr>
            <w:tcW w:w="992"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pPr>
            <w:r>
              <w:rPr>
                <w:rFonts w:hint="eastAsia"/>
              </w:rPr>
              <w:t>-</w:t>
            </w:r>
          </w:p>
        </w:tc>
        <w:tc>
          <w:tcPr>
            <w:tcW w:w="89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Merge w:val="continue"/>
            <w:tcBorders>
              <w:left w:val="single" w:color="000000" w:sz="12" w:space="0"/>
              <w:right w:val="single" w:color="000000" w:sz="4" w:space="0"/>
            </w:tcBorders>
            <w:shd w:val="clear" w:color="auto" w:fill="FFFFFF"/>
            <w:vAlign w:val="center"/>
          </w:tcPr>
          <w:p>
            <w:pPr>
              <w:pStyle w:val="51"/>
            </w:pPr>
          </w:p>
        </w:tc>
        <w:tc>
          <w:tcPr>
            <w:tcW w:w="1984" w:type="dxa"/>
            <w:gridSpan w:val="2"/>
            <w:vMerge w:val="restart"/>
            <w:tcBorders>
              <w:top w:val="single" w:color="000000" w:sz="4" w:space="0"/>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1.2管理人员和后勤保障人员（4分）</w:t>
            </w:r>
          </w:p>
        </w:tc>
        <w:tc>
          <w:tcPr>
            <w:tcW w:w="90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一级：管理和后勤保障人员4人以上。</w:t>
            </w:r>
          </w:p>
        </w:tc>
        <w:tc>
          <w:tcPr>
            <w:tcW w:w="992" w:type="dxa"/>
            <w:tcBorders>
              <w:top w:val="single" w:color="000000" w:sz="4" w:space="0"/>
              <w:left w:val="single" w:color="000000" w:sz="4" w:space="0"/>
              <w:bottom w:val="single" w:color="000000" w:sz="4" w:space="0"/>
              <w:right w:val="single" w:color="auto" w:sz="4" w:space="0"/>
            </w:tcBorders>
            <w:shd w:val="clear" w:color="auto" w:fill="FFFFFF"/>
            <w:vAlign w:val="center"/>
          </w:tcPr>
          <w:p>
            <w:pPr>
              <w:pStyle w:val="51"/>
            </w:pPr>
          </w:p>
        </w:tc>
        <w:tc>
          <w:tcPr>
            <w:tcW w:w="89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9" w:type="dxa"/>
            <w:vMerge w:val="continue"/>
            <w:tcBorders>
              <w:left w:val="single" w:color="000000" w:sz="12" w:space="0"/>
              <w:bottom w:val="single" w:color="000000" w:sz="12" w:space="0"/>
              <w:right w:val="single" w:color="000000" w:sz="4" w:space="0"/>
            </w:tcBorders>
            <w:shd w:val="clear" w:color="auto" w:fill="FFFFFF"/>
          </w:tcPr>
          <w:p>
            <w:pPr>
              <w:pStyle w:val="51"/>
            </w:pPr>
          </w:p>
        </w:tc>
        <w:tc>
          <w:tcPr>
            <w:tcW w:w="1984" w:type="dxa"/>
            <w:gridSpan w:val="2"/>
            <w:vMerge w:val="continue"/>
            <w:tcBorders>
              <w:left w:val="single" w:color="000000" w:sz="4" w:space="0"/>
              <w:bottom w:val="single" w:color="000000" w:sz="12" w:space="0"/>
              <w:right w:val="single" w:color="000000" w:sz="4" w:space="0"/>
            </w:tcBorders>
            <w:shd w:val="clear" w:color="auto" w:fill="FFFFFF"/>
          </w:tcPr>
          <w:p>
            <w:pPr>
              <w:pStyle w:val="51"/>
            </w:pPr>
          </w:p>
        </w:tc>
        <w:tc>
          <w:tcPr>
            <w:tcW w:w="9072" w:type="dxa"/>
            <w:tcBorders>
              <w:top w:val="single" w:color="000000" w:sz="4" w:space="0"/>
              <w:left w:val="single" w:color="000000" w:sz="4" w:space="0"/>
              <w:bottom w:val="single" w:color="000000" w:sz="12"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二级：管理和后勤保障人员2人～3人。</w:t>
            </w:r>
          </w:p>
        </w:tc>
        <w:tc>
          <w:tcPr>
            <w:tcW w:w="992" w:type="dxa"/>
            <w:tcBorders>
              <w:top w:val="single" w:color="000000" w:sz="4" w:space="0"/>
              <w:left w:val="single" w:color="000000" w:sz="4" w:space="0"/>
              <w:bottom w:val="single" w:color="000000" w:sz="12" w:space="0"/>
              <w:right w:val="single" w:color="auto" w:sz="4" w:space="0"/>
            </w:tcBorders>
            <w:shd w:val="clear" w:color="auto" w:fill="FFFFFF"/>
          </w:tcPr>
          <w:p>
            <w:pPr>
              <w:pStyle w:val="51"/>
            </w:pPr>
          </w:p>
        </w:tc>
        <w:tc>
          <w:tcPr>
            <w:tcW w:w="896" w:type="dxa"/>
            <w:tcBorders>
              <w:top w:val="single" w:color="000000" w:sz="4" w:space="0"/>
              <w:left w:val="single" w:color="auto" w:sz="4" w:space="0"/>
              <w:bottom w:val="single" w:color="000000" w:sz="12" w:space="0"/>
              <w:right w:val="single" w:color="000000" w:sz="12" w:space="0"/>
            </w:tcBorders>
            <w:shd w:val="clear" w:color="auto" w:fill="FFFFFF"/>
          </w:tcPr>
          <w:p>
            <w:pPr>
              <w:pStyle w:val="51"/>
            </w:pPr>
            <w:r>
              <w:rPr>
                <w:rFonts w:hint="eastAsia"/>
              </w:rPr>
              <w:t>-</w:t>
            </w:r>
          </w:p>
        </w:tc>
      </w:tr>
    </w:tbl>
    <w:p>
      <w:pPr>
        <w:pStyle w:val="51"/>
      </w:pPr>
      <w:r>
        <w:br w:type="page"/>
      </w:r>
    </w:p>
    <w:p>
      <w:pPr>
        <w:pStyle w:val="60"/>
        <w:numPr>
          <w:ilvl w:val="0"/>
          <w:numId w:val="0"/>
        </w:numPr>
        <w:rPr>
          <w:rFonts w:ascii="宋体" w:hAnsi="宋体" w:eastAsia="宋体" w:cs="宋体"/>
          <w:szCs w:val="21"/>
        </w:rPr>
      </w:pPr>
      <w:r>
        <w:rPr>
          <w:rFonts w:hint="eastAsia"/>
        </w:rPr>
        <w:t>表</w:t>
      </w:r>
      <w:r>
        <w:t>A</w:t>
      </w:r>
      <w:r>
        <w:rPr>
          <w:rFonts w:hint="eastAsia"/>
        </w:rPr>
        <w:t>.1  运动促进健康中心运营服务分级内容</w:t>
      </w:r>
      <w:r>
        <w:rPr>
          <w:rFonts w:hint="eastAsia" w:ascii="宋体" w:hAnsi="宋体" w:eastAsia="宋体" w:cs="宋体"/>
          <w:szCs w:val="21"/>
        </w:rPr>
        <w:t>（续）</w:t>
      </w:r>
    </w:p>
    <w:tbl>
      <w:tblPr>
        <w:tblStyle w:val="21"/>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1965"/>
        <w:gridCol w:w="8222"/>
        <w:gridCol w:w="1134"/>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1" w:type="dxa"/>
            <w:gridSpan w:val="2"/>
            <w:tcBorders>
              <w:top w:val="single" w:color="000000" w:sz="12" w:space="0"/>
              <w:left w:val="single" w:color="000000" w:sz="12" w:space="0"/>
              <w:bottom w:val="single" w:color="auto" w:sz="12" w:space="0"/>
              <w:right w:val="single" w:color="000000" w:sz="4" w:space="0"/>
              <w:tl2br w:val="nil"/>
            </w:tcBorders>
            <w:shd w:val="clear" w:color="auto" w:fill="FFFFFF"/>
            <w:vAlign w:val="center"/>
          </w:tcPr>
          <w:p>
            <w:pPr>
              <w:pStyle w:val="51"/>
            </w:pPr>
            <w:r>
              <w:rPr>
                <w:rFonts w:hint="eastAsia"/>
              </w:rPr>
              <w:t>项目</w:t>
            </w:r>
          </w:p>
        </w:tc>
        <w:tc>
          <w:tcPr>
            <w:tcW w:w="8222" w:type="dxa"/>
            <w:tcBorders>
              <w:top w:val="single" w:color="000000" w:sz="12" w:space="0"/>
              <w:left w:val="single" w:color="000000" w:sz="4" w:space="0"/>
              <w:bottom w:val="single" w:color="auto" w:sz="12" w:space="0"/>
              <w:right w:val="single" w:color="000000" w:sz="4" w:space="0"/>
            </w:tcBorders>
            <w:shd w:val="clear" w:color="auto" w:fill="FFFFFF"/>
            <w:vAlign w:val="center"/>
          </w:tcPr>
          <w:p>
            <w:pPr>
              <w:pStyle w:val="51"/>
            </w:pPr>
            <w:r>
              <w:rPr>
                <w:rFonts w:hint="eastAsia"/>
              </w:rPr>
              <w:t>服务指标</w:t>
            </w:r>
          </w:p>
        </w:tc>
        <w:tc>
          <w:tcPr>
            <w:tcW w:w="1134" w:type="dxa"/>
            <w:tcBorders>
              <w:top w:val="single" w:color="000000" w:sz="12" w:space="0"/>
              <w:left w:val="single" w:color="000000" w:sz="4" w:space="0"/>
              <w:bottom w:val="single" w:color="auto" w:sz="12" w:space="0"/>
              <w:right w:val="single" w:color="auto" w:sz="4" w:space="0"/>
            </w:tcBorders>
            <w:shd w:val="clear" w:color="auto" w:fill="FFFFFF"/>
            <w:vAlign w:val="center"/>
          </w:tcPr>
          <w:p>
            <w:pPr>
              <w:pStyle w:val="51"/>
            </w:pPr>
            <w:r>
              <w:rPr>
                <w:rFonts w:hint="eastAsia"/>
              </w:rPr>
              <w:t>必备条件</w:t>
            </w:r>
          </w:p>
        </w:tc>
        <w:tc>
          <w:tcPr>
            <w:tcW w:w="1056" w:type="dxa"/>
            <w:tcBorders>
              <w:top w:val="single" w:color="000000" w:sz="12" w:space="0"/>
              <w:left w:val="single" w:color="auto" w:sz="4" w:space="0"/>
              <w:bottom w:val="single" w:color="auto" w:sz="12" w:space="0"/>
              <w:right w:val="single" w:color="000000" w:sz="12" w:space="0"/>
            </w:tcBorders>
            <w:shd w:val="clear" w:color="auto" w:fill="FFFFFF"/>
            <w:vAlign w:val="center"/>
          </w:tcPr>
          <w:p>
            <w:pPr>
              <w:pStyle w:val="51"/>
            </w:pPr>
            <w:r>
              <w:rPr>
                <w:rFonts w:hint="eastAsia"/>
              </w:rPr>
              <w:t>打分栏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restart"/>
            <w:tcBorders>
              <w:left w:val="single" w:color="000000" w:sz="12" w:space="0"/>
              <w:right w:val="single" w:color="000000" w:sz="4" w:space="0"/>
            </w:tcBorders>
            <w:shd w:val="clear" w:color="auto" w:fill="FFFFFF"/>
            <w:vAlign w:val="center"/>
          </w:tcPr>
          <w:p>
            <w:pPr>
              <w:pStyle w:val="51"/>
            </w:pPr>
            <w:r>
              <w:rPr>
                <w:rFonts w:hint="eastAsia"/>
              </w:rPr>
              <w:t>1人员配置（30分）</w:t>
            </w:r>
          </w:p>
        </w:tc>
        <w:tc>
          <w:tcPr>
            <w:tcW w:w="1965" w:type="dxa"/>
            <w:vMerge w:val="restart"/>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1.2管理人员和后勤保障人员（4分）</w:t>
            </w: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三级：管理和后勤保障人员1人。</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vAlign w:val="center"/>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满足必备条件的基础上，每增加1名管理人员和后勤保障人员，加2分；上限为4分。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r>
              <w:rPr>
                <w:rFonts w:hint="eastAsia"/>
              </w:rPr>
              <w:t>-</w:t>
            </w: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6" w:type="dxa"/>
            <w:vMerge w:val="restart"/>
            <w:tcBorders>
              <w:left w:val="single" w:color="000000" w:sz="12" w:space="0"/>
              <w:right w:val="single" w:color="000000" w:sz="4" w:space="0"/>
            </w:tcBorders>
            <w:shd w:val="clear" w:color="auto" w:fill="FFFFFF"/>
            <w:vAlign w:val="center"/>
          </w:tcPr>
          <w:p>
            <w:pPr>
              <w:pStyle w:val="51"/>
            </w:pPr>
            <w:r>
              <w:rPr>
                <w:rFonts w:hint="eastAsia"/>
              </w:rPr>
              <w:t>2服务时间</w:t>
            </w:r>
          </w:p>
          <w:p>
            <w:pPr>
              <w:pStyle w:val="51"/>
            </w:pPr>
            <w:r>
              <w:rPr>
                <w:rFonts w:hint="eastAsia"/>
              </w:rPr>
              <w:t>（20分）</w:t>
            </w:r>
          </w:p>
        </w:tc>
        <w:tc>
          <w:tcPr>
            <w:tcW w:w="1965" w:type="dxa"/>
            <w:vMerge w:val="restart"/>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中心运营时间</w:t>
            </w:r>
          </w:p>
          <w:p>
            <w:pPr>
              <w:pStyle w:val="76"/>
              <w:widowControl w:val="0"/>
              <w:rPr>
                <w:rFonts w:asciiTheme="minorEastAsia" w:hAnsiTheme="minorEastAsia" w:eastAsiaTheme="minorEastAsia"/>
                <w:szCs w:val="18"/>
              </w:rPr>
            </w:pPr>
            <w:r>
              <w:rPr>
                <w:rFonts w:hint="eastAsia"/>
              </w:rPr>
              <w:t>（10分）</w:t>
            </w: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一级：每周期年开放不少于330</w:t>
            </w:r>
            <w:r>
              <w:rPr>
                <w:rFonts w:hint="eastAsia" w:asciiTheme="minorEastAsia" w:hAnsiTheme="minorEastAsia" w:eastAsiaTheme="minorEastAsia"/>
                <w:szCs w:val="18"/>
                <w:lang w:val="en-US" w:eastAsia="zh-CN"/>
              </w:rPr>
              <w:t xml:space="preserve"> </w:t>
            </w:r>
            <w:r>
              <w:rPr>
                <w:rFonts w:hint="eastAsia" w:asciiTheme="minorEastAsia" w:hAnsiTheme="minorEastAsia" w:eastAsiaTheme="minorEastAsia"/>
                <w:szCs w:val="18"/>
              </w:rPr>
              <w:t>d，每周不少于40</w:t>
            </w:r>
            <w:r>
              <w:rPr>
                <w:rFonts w:asciiTheme="minorEastAsia" w:hAnsiTheme="minorEastAsia" w:eastAsiaTheme="minorEastAsia"/>
                <w:szCs w:val="18"/>
              </w:rPr>
              <w:t xml:space="preserve"> </w:t>
            </w:r>
            <w:r>
              <w:rPr>
                <w:rFonts w:hint="eastAsia" w:asciiTheme="minorEastAsia" w:hAnsiTheme="minorEastAsia" w:eastAsiaTheme="minorEastAsia"/>
                <w:szCs w:val="18"/>
              </w:rPr>
              <w:t>h。</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二级：每周期年开放不少于300</w:t>
            </w:r>
            <w:r>
              <w:rPr>
                <w:rFonts w:hint="eastAsia" w:asciiTheme="minorEastAsia" w:hAnsiTheme="minorEastAsia" w:eastAsiaTheme="minorEastAsia"/>
                <w:szCs w:val="18"/>
                <w:lang w:val="en-US" w:eastAsia="zh-CN"/>
              </w:rPr>
              <w:t xml:space="preserve"> </w:t>
            </w:r>
            <w:r>
              <w:rPr>
                <w:rFonts w:hint="eastAsia" w:asciiTheme="minorEastAsia" w:hAnsiTheme="minorEastAsia" w:eastAsiaTheme="minorEastAsia"/>
                <w:szCs w:val="18"/>
              </w:rPr>
              <w:t>d，每周不少于35</w:t>
            </w:r>
            <w:r>
              <w:rPr>
                <w:rFonts w:asciiTheme="minorEastAsia" w:hAnsiTheme="minorEastAsia" w:eastAsiaTheme="minorEastAsia"/>
                <w:szCs w:val="18"/>
              </w:rPr>
              <w:t xml:space="preserve"> </w:t>
            </w:r>
            <w:r>
              <w:rPr>
                <w:rFonts w:hint="eastAsia" w:asciiTheme="minorEastAsia" w:hAnsiTheme="minorEastAsia" w:eastAsiaTheme="minorEastAsia"/>
                <w:szCs w:val="18"/>
              </w:rPr>
              <w:t>h。</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三级：每周期年开放不少于280</w:t>
            </w:r>
            <w:r>
              <w:rPr>
                <w:rFonts w:hint="eastAsia" w:asciiTheme="minorEastAsia" w:hAnsiTheme="minorEastAsia" w:eastAsiaTheme="minorEastAsia"/>
                <w:szCs w:val="18"/>
                <w:lang w:val="en-US" w:eastAsia="zh-CN"/>
              </w:rPr>
              <w:t xml:space="preserve"> </w:t>
            </w:r>
            <w:r>
              <w:rPr>
                <w:rFonts w:hint="eastAsia" w:asciiTheme="minorEastAsia" w:hAnsiTheme="minorEastAsia" w:eastAsiaTheme="minorEastAsia"/>
                <w:szCs w:val="18"/>
              </w:rPr>
              <w:t>d，每周不少于30</w:t>
            </w:r>
            <w:r>
              <w:rPr>
                <w:rFonts w:asciiTheme="minorEastAsia" w:hAnsiTheme="minorEastAsia" w:eastAsiaTheme="minorEastAsia"/>
                <w:szCs w:val="18"/>
              </w:rPr>
              <w:t xml:space="preserve"> </w:t>
            </w:r>
            <w:r>
              <w:rPr>
                <w:rFonts w:hint="eastAsia" w:asciiTheme="minorEastAsia" w:hAnsiTheme="minorEastAsia" w:eastAsiaTheme="minorEastAsia"/>
                <w:szCs w:val="18"/>
              </w:rPr>
              <w:t>h。</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51"/>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满足必备条件的基础上，每周增加5</w:t>
            </w:r>
            <w:r>
              <w:rPr>
                <w:rFonts w:asciiTheme="minorEastAsia" w:hAnsiTheme="minorEastAsia" w:eastAsiaTheme="minorEastAsia"/>
                <w:szCs w:val="18"/>
              </w:rPr>
              <w:t xml:space="preserve"> </w:t>
            </w:r>
            <w:r>
              <w:rPr>
                <w:rFonts w:hint="eastAsia" w:asciiTheme="minorEastAsia" w:hAnsiTheme="minorEastAsia" w:eastAsiaTheme="minorEastAsia"/>
                <w:szCs w:val="18"/>
              </w:rPr>
              <w:t>h，加5分；上限为10分。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r>
              <w:rPr>
                <w:rFonts w:hint="eastAsia"/>
              </w:rPr>
              <w:t>-</w:t>
            </w: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restart"/>
            <w:tcBorders>
              <w:left w:val="single" w:color="000000" w:sz="4" w:space="0"/>
              <w:right w:val="single" w:color="000000" w:sz="4" w:space="0"/>
            </w:tcBorders>
            <w:shd w:val="clear" w:color="auto" w:fill="FFFFFF"/>
            <w:vAlign w:val="center"/>
          </w:tcPr>
          <w:p>
            <w:pPr>
              <w:pStyle w:val="51"/>
            </w:pPr>
            <w:r>
              <w:rPr>
                <w:rFonts w:hint="eastAsia"/>
              </w:rPr>
              <w:t>人员服务时间</w:t>
            </w:r>
          </w:p>
          <w:p>
            <w:pPr>
              <w:pStyle w:val="51"/>
            </w:pPr>
            <w:r>
              <w:rPr>
                <w:rFonts w:hint="eastAsia"/>
              </w:rPr>
              <w:t>（10分）</w:t>
            </w: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一级：社会体育指导员每周期年在本中心从事运动促进健康服务人均时长不少于100 h。</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51"/>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二级：社会体育指导员每周期年在本中心从事运动促进健康服务人均时长不少于80 h。</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51"/>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三级：社会体育指导员每周期年在本中心从事运动促进健康服务人均时长不少于60 h。</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51"/>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满足必备条件的基础上，每周期年增加10</w:t>
            </w:r>
            <w:r>
              <w:rPr>
                <w:rFonts w:asciiTheme="minorEastAsia" w:hAnsiTheme="minorEastAsia" w:eastAsiaTheme="minorEastAsia"/>
                <w:szCs w:val="18"/>
              </w:rPr>
              <w:t xml:space="preserve"> </w:t>
            </w:r>
            <w:r>
              <w:rPr>
                <w:rFonts w:hint="eastAsia" w:asciiTheme="minorEastAsia" w:hAnsiTheme="minorEastAsia" w:eastAsiaTheme="minorEastAsia"/>
                <w:szCs w:val="18"/>
              </w:rPr>
              <w:t>h，加5分；上限为10分。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r>
              <w:rPr>
                <w:rFonts w:hint="eastAsia"/>
              </w:rPr>
              <w:t>-</w:t>
            </w: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6" w:type="dxa"/>
            <w:vMerge w:val="restart"/>
            <w:tcBorders>
              <w:left w:val="single" w:color="000000" w:sz="12" w:space="0"/>
              <w:right w:val="single" w:color="000000" w:sz="4" w:space="0"/>
            </w:tcBorders>
            <w:shd w:val="clear" w:color="auto" w:fill="FFFFFF"/>
            <w:vAlign w:val="center"/>
          </w:tcPr>
          <w:p>
            <w:pPr>
              <w:pStyle w:val="51"/>
            </w:pPr>
            <w:r>
              <w:rPr>
                <w:rFonts w:hint="eastAsia"/>
              </w:rPr>
              <w:t>3服务项目（60分）</w:t>
            </w:r>
          </w:p>
        </w:tc>
        <w:tc>
          <w:tcPr>
            <w:tcW w:w="1965" w:type="dxa"/>
            <w:vMerge w:val="restart"/>
            <w:tcBorders>
              <w:left w:val="single" w:color="000000" w:sz="4" w:space="0"/>
              <w:right w:val="single" w:color="000000" w:sz="4" w:space="0"/>
            </w:tcBorders>
            <w:shd w:val="clear" w:color="auto" w:fill="FFFFFF"/>
            <w:vAlign w:val="center"/>
          </w:tcPr>
          <w:p>
            <w:pPr>
              <w:pStyle w:val="51"/>
            </w:pPr>
            <w:r>
              <w:rPr>
                <w:rFonts w:hint="eastAsia"/>
              </w:rPr>
              <w:t>3.1体质与健康检测</w:t>
            </w:r>
          </w:p>
          <w:p>
            <w:pPr>
              <w:pStyle w:val="51"/>
            </w:pPr>
            <w:r>
              <w:rPr>
                <w:rFonts w:hint="eastAsia"/>
              </w:rPr>
              <w:t>（10分）</w:t>
            </w: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一级：面向群众开展国民体质检测服务，每周期年检测服务人数不少于800人（含）。</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二级：面向群众开展国民体质检测服务，每周期年检测服务人数不少于400人（含）。</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三级：面向群众开展国民体质检测服务，每周期年检测服务人数不少于200人（含）。</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满足必备条件的基础上，每增加50人，加2分，上限为10分。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r>
              <w:rPr>
                <w:rFonts w:hint="eastAsia"/>
              </w:rPr>
              <w:t>-</w:t>
            </w: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restart"/>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3.2运动处方开具</w:t>
            </w:r>
          </w:p>
          <w:p>
            <w:pPr>
              <w:pStyle w:val="51"/>
            </w:pPr>
            <w:r>
              <w:rPr>
                <w:rFonts w:hint="eastAsia"/>
              </w:rPr>
              <w:t>（10分）</w:t>
            </w: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一级：每周期年不少于800（含）例。</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二级：每周期年不少于300（含）例。</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三级：每周期年不少于100（含）例。</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满足必备条件的基础上，每增加50人，加2分，上限为10分。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r>
              <w:rPr>
                <w:rFonts w:hint="eastAsia"/>
              </w:rPr>
              <w:t>-</w:t>
            </w: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restart"/>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3.3科学健身指导</w:t>
            </w:r>
          </w:p>
          <w:p>
            <w:pPr>
              <w:pStyle w:val="51"/>
            </w:pPr>
            <w:r>
              <w:rPr>
                <w:rFonts w:hint="eastAsia"/>
              </w:rPr>
              <w:t>（10分）</w:t>
            </w: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一级：每周期年不少于800（含）例。</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二级：每周期年不少于300（含）例。</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三级：每周期年不少于100（含）例。</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 w:type="dxa"/>
            <w:vMerge w:val="continue"/>
            <w:tcBorders>
              <w:left w:val="single" w:color="000000" w:sz="12" w:space="0"/>
              <w:bottom w:val="single" w:color="000000" w:sz="12" w:space="0"/>
              <w:right w:val="single" w:color="000000" w:sz="4" w:space="0"/>
            </w:tcBorders>
            <w:shd w:val="clear" w:color="auto" w:fill="FFFFFF"/>
          </w:tcPr>
          <w:p>
            <w:pPr>
              <w:pStyle w:val="51"/>
            </w:pPr>
          </w:p>
        </w:tc>
        <w:tc>
          <w:tcPr>
            <w:tcW w:w="1965" w:type="dxa"/>
            <w:vMerge w:val="continue"/>
            <w:tcBorders>
              <w:left w:val="single" w:color="000000" w:sz="4" w:space="0"/>
              <w:bottom w:val="single" w:color="000000" w:sz="12" w:space="0"/>
              <w:right w:val="single" w:color="000000" w:sz="4" w:space="0"/>
            </w:tcBorders>
            <w:shd w:val="clear" w:color="auto" w:fill="FFFFFF"/>
            <w:vAlign w:val="center"/>
          </w:tcPr>
          <w:p>
            <w:pPr>
              <w:pStyle w:val="51"/>
            </w:pPr>
          </w:p>
        </w:tc>
        <w:tc>
          <w:tcPr>
            <w:tcW w:w="8222" w:type="dxa"/>
            <w:tcBorders>
              <w:top w:val="single" w:color="000000" w:sz="4" w:space="0"/>
              <w:left w:val="single" w:color="000000" w:sz="4" w:space="0"/>
              <w:bottom w:val="single" w:color="000000" w:sz="12"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满足必备条件的基础上，每增加50人，加2分，上限为10分。</w:t>
            </w:r>
          </w:p>
        </w:tc>
        <w:tc>
          <w:tcPr>
            <w:tcW w:w="1134" w:type="dxa"/>
            <w:tcBorders>
              <w:top w:val="single" w:color="000000" w:sz="4" w:space="0"/>
              <w:left w:val="single" w:color="000000" w:sz="4" w:space="0"/>
              <w:bottom w:val="single" w:color="000000" w:sz="12" w:space="0"/>
              <w:right w:val="single" w:color="auto" w:sz="4" w:space="0"/>
            </w:tcBorders>
            <w:shd w:val="clear" w:color="auto" w:fill="FFFFFF"/>
          </w:tcPr>
          <w:p>
            <w:pPr>
              <w:pStyle w:val="51"/>
            </w:pPr>
            <w:r>
              <w:rPr>
                <w:rFonts w:hint="eastAsia"/>
              </w:rPr>
              <w:t>-</w:t>
            </w:r>
          </w:p>
        </w:tc>
        <w:tc>
          <w:tcPr>
            <w:tcW w:w="1056" w:type="dxa"/>
            <w:tcBorders>
              <w:top w:val="single" w:color="000000" w:sz="4" w:space="0"/>
              <w:left w:val="single" w:color="auto" w:sz="4" w:space="0"/>
              <w:bottom w:val="single" w:color="000000" w:sz="12" w:space="0"/>
              <w:right w:val="single" w:color="000000" w:sz="12" w:space="0"/>
            </w:tcBorders>
            <w:shd w:val="clear" w:color="auto" w:fill="FFFFFF"/>
          </w:tcPr>
          <w:p>
            <w:pPr>
              <w:pStyle w:val="51"/>
            </w:pPr>
          </w:p>
        </w:tc>
      </w:tr>
    </w:tbl>
    <w:p>
      <w:pPr>
        <w:pStyle w:val="51"/>
      </w:pPr>
      <w:r>
        <w:br w:type="page"/>
      </w:r>
    </w:p>
    <w:p>
      <w:pPr>
        <w:pStyle w:val="60"/>
        <w:numPr>
          <w:ilvl w:val="0"/>
          <w:numId w:val="0"/>
        </w:numPr>
        <w:rPr>
          <w:rFonts w:ascii="宋体" w:hAnsi="宋体" w:eastAsia="宋体" w:cs="宋体"/>
          <w:szCs w:val="21"/>
        </w:rPr>
      </w:pPr>
      <w:r>
        <w:rPr>
          <w:rFonts w:hint="eastAsia"/>
        </w:rPr>
        <w:t>表</w:t>
      </w:r>
      <w:r>
        <w:t>A</w:t>
      </w:r>
      <w:r>
        <w:rPr>
          <w:rFonts w:hint="eastAsia"/>
        </w:rPr>
        <w:t>.1  运动促进健康中心运营服务分级内容</w:t>
      </w:r>
      <w:r>
        <w:rPr>
          <w:rFonts w:hint="eastAsia" w:ascii="宋体" w:hAnsi="宋体" w:eastAsia="宋体" w:cs="宋体"/>
          <w:szCs w:val="21"/>
        </w:rPr>
        <w:t>（续）</w:t>
      </w:r>
    </w:p>
    <w:tbl>
      <w:tblPr>
        <w:tblStyle w:val="21"/>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2409"/>
        <w:gridCol w:w="8222"/>
        <w:gridCol w:w="1134"/>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1" w:type="dxa"/>
            <w:gridSpan w:val="2"/>
            <w:tcBorders>
              <w:top w:val="single" w:color="000000" w:sz="12" w:space="0"/>
              <w:left w:val="single" w:color="000000" w:sz="12" w:space="0"/>
              <w:bottom w:val="single" w:color="auto" w:sz="12" w:space="0"/>
              <w:right w:val="single" w:color="000000" w:sz="4" w:space="0"/>
              <w:tl2br w:val="nil"/>
            </w:tcBorders>
            <w:shd w:val="clear" w:color="auto" w:fill="FFFFFF"/>
            <w:vAlign w:val="center"/>
          </w:tcPr>
          <w:p>
            <w:pPr>
              <w:pStyle w:val="51"/>
            </w:pPr>
            <w:r>
              <w:rPr>
                <w:rFonts w:hint="eastAsia"/>
              </w:rPr>
              <w:t>项目</w:t>
            </w:r>
          </w:p>
        </w:tc>
        <w:tc>
          <w:tcPr>
            <w:tcW w:w="8222" w:type="dxa"/>
            <w:tcBorders>
              <w:top w:val="single" w:color="000000" w:sz="12" w:space="0"/>
              <w:left w:val="single" w:color="000000" w:sz="4" w:space="0"/>
              <w:bottom w:val="single" w:color="auto" w:sz="12" w:space="0"/>
              <w:right w:val="single" w:color="000000" w:sz="4" w:space="0"/>
            </w:tcBorders>
            <w:shd w:val="clear" w:color="auto" w:fill="FFFFFF"/>
            <w:vAlign w:val="center"/>
          </w:tcPr>
          <w:p>
            <w:pPr>
              <w:pStyle w:val="51"/>
            </w:pPr>
            <w:r>
              <w:rPr>
                <w:rFonts w:hint="eastAsia"/>
              </w:rPr>
              <w:t>服务指标</w:t>
            </w:r>
          </w:p>
        </w:tc>
        <w:tc>
          <w:tcPr>
            <w:tcW w:w="1134" w:type="dxa"/>
            <w:tcBorders>
              <w:top w:val="single" w:color="000000" w:sz="12" w:space="0"/>
              <w:left w:val="single" w:color="000000" w:sz="4" w:space="0"/>
              <w:bottom w:val="single" w:color="auto" w:sz="12" w:space="0"/>
              <w:right w:val="single" w:color="auto" w:sz="4" w:space="0"/>
            </w:tcBorders>
            <w:shd w:val="clear" w:color="auto" w:fill="FFFFFF"/>
            <w:vAlign w:val="center"/>
          </w:tcPr>
          <w:p>
            <w:pPr>
              <w:pStyle w:val="51"/>
            </w:pPr>
            <w:r>
              <w:rPr>
                <w:rFonts w:hint="eastAsia"/>
              </w:rPr>
              <w:t>必备条件</w:t>
            </w:r>
          </w:p>
        </w:tc>
        <w:tc>
          <w:tcPr>
            <w:tcW w:w="1056" w:type="dxa"/>
            <w:tcBorders>
              <w:top w:val="single" w:color="000000" w:sz="12" w:space="0"/>
              <w:left w:val="single" w:color="auto" w:sz="4" w:space="0"/>
              <w:bottom w:val="single" w:color="auto" w:sz="12" w:space="0"/>
              <w:right w:val="single" w:color="000000" w:sz="12" w:space="0"/>
            </w:tcBorders>
            <w:shd w:val="clear" w:color="auto" w:fill="FFFFFF"/>
            <w:vAlign w:val="center"/>
          </w:tcPr>
          <w:p>
            <w:pPr>
              <w:pStyle w:val="51"/>
            </w:pPr>
            <w:r>
              <w:rPr>
                <w:rFonts w:hint="eastAsia"/>
              </w:rPr>
              <w:t>打分栏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restart"/>
            <w:tcBorders>
              <w:left w:val="single" w:color="000000" w:sz="12" w:space="0"/>
              <w:right w:val="single" w:color="000000" w:sz="4" w:space="0"/>
            </w:tcBorders>
            <w:shd w:val="clear" w:color="auto" w:fill="FFFFFF"/>
            <w:vAlign w:val="center"/>
          </w:tcPr>
          <w:p>
            <w:pPr>
              <w:pStyle w:val="51"/>
            </w:pPr>
            <w:r>
              <w:rPr>
                <w:rFonts w:hint="eastAsia"/>
              </w:rPr>
              <w:t>3服务项目（60分）</w:t>
            </w:r>
          </w:p>
        </w:tc>
        <w:tc>
          <w:tcPr>
            <w:tcW w:w="2409" w:type="dxa"/>
            <w:vMerge w:val="restart"/>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3.4运动康复训练</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（10分）</w:t>
            </w: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一级：每周期年不少于500（含）例。</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continue"/>
            <w:tcBorders>
              <w:left w:val="single" w:color="000000" w:sz="12" w:space="0"/>
              <w:right w:val="single" w:color="000000" w:sz="4" w:space="0"/>
            </w:tcBorders>
            <w:shd w:val="clear" w:color="auto" w:fill="FFFFFF"/>
            <w:vAlign w:val="center"/>
          </w:tcPr>
          <w:p>
            <w:pPr>
              <w:pStyle w:val="51"/>
            </w:pPr>
          </w:p>
        </w:tc>
        <w:tc>
          <w:tcPr>
            <w:tcW w:w="2409"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二级：每周期年不少于300（含）例。</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2" w:type="dxa"/>
            <w:vMerge w:val="continue"/>
            <w:tcBorders>
              <w:left w:val="single" w:color="000000" w:sz="12" w:space="0"/>
              <w:right w:val="single" w:color="000000" w:sz="4" w:space="0"/>
            </w:tcBorders>
            <w:shd w:val="clear" w:color="auto" w:fill="FFFFFF"/>
            <w:vAlign w:val="center"/>
          </w:tcPr>
          <w:p>
            <w:pPr>
              <w:pStyle w:val="51"/>
            </w:pPr>
          </w:p>
        </w:tc>
        <w:tc>
          <w:tcPr>
            <w:tcW w:w="2409"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三级：每周期年不少于100（含）例。</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continue"/>
            <w:tcBorders>
              <w:left w:val="single" w:color="000000" w:sz="12" w:space="0"/>
              <w:right w:val="single" w:color="000000" w:sz="4" w:space="0"/>
            </w:tcBorders>
            <w:shd w:val="clear" w:color="auto" w:fill="FFFFFF"/>
            <w:vAlign w:val="center"/>
          </w:tcPr>
          <w:p>
            <w:pPr>
              <w:pStyle w:val="51"/>
            </w:pPr>
          </w:p>
        </w:tc>
        <w:tc>
          <w:tcPr>
            <w:tcW w:w="2409"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满足必备条件的基础上，每增加50人，加2分，上限为10分。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r>
              <w:rPr>
                <w:rFonts w:hint="eastAsia"/>
              </w:rPr>
              <w:t>-</w:t>
            </w:r>
          </w:p>
        </w:tc>
        <w:tc>
          <w:tcPr>
            <w:tcW w:w="105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continue"/>
            <w:tcBorders>
              <w:left w:val="single" w:color="000000" w:sz="12" w:space="0"/>
              <w:right w:val="single" w:color="000000" w:sz="4" w:space="0"/>
            </w:tcBorders>
            <w:shd w:val="clear" w:color="auto" w:fill="FFFFFF"/>
            <w:vAlign w:val="center"/>
          </w:tcPr>
          <w:p>
            <w:pPr>
              <w:pStyle w:val="51"/>
            </w:pPr>
          </w:p>
        </w:tc>
        <w:tc>
          <w:tcPr>
            <w:tcW w:w="2409" w:type="dxa"/>
            <w:vMerge w:val="restart"/>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3.5科学健身知识宣讲</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（8分）</w:t>
            </w: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一级：每周期年面向群众开展健康生活方式、科学健身指导、运动损伤防护、慢病防治等方面的线下健身知识讲座或培训不少于8场次。</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continue"/>
            <w:tcBorders>
              <w:left w:val="single" w:color="000000" w:sz="12" w:space="0"/>
              <w:right w:val="single" w:color="000000" w:sz="4" w:space="0"/>
            </w:tcBorders>
            <w:shd w:val="clear" w:color="auto" w:fill="FFFFFF"/>
            <w:vAlign w:val="center"/>
          </w:tcPr>
          <w:p>
            <w:pPr>
              <w:pStyle w:val="51"/>
            </w:pPr>
          </w:p>
        </w:tc>
        <w:tc>
          <w:tcPr>
            <w:tcW w:w="2409" w:type="dxa"/>
            <w:vMerge w:val="continue"/>
            <w:tcBorders>
              <w:left w:val="single" w:color="000000" w:sz="4" w:space="0"/>
              <w:right w:val="single" w:color="000000" w:sz="4" w:space="0"/>
            </w:tcBorders>
            <w:shd w:val="clear" w:color="auto" w:fill="FFFFFF"/>
            <w:vAlign w:val="center"/>
          </w:tcPr>
          <w:p>
            <w:pPr>
              <w:pStyle w:val="51"/>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二级：每周期年面向群众开展健康生活方式、科学健身指导、运动损伤防护、慢病防治等方面的线下健身知识讲座或培训不少于4场次。</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2" w:type="dxa"/>
            <w:vMerge w:val="continue"/>
            <w:tcBorders>
              <w:left w:val="single" w:color="000000" w:sz="12" w:space="0"/>
              <w:right w:val="single" w:color="000000" w:sz="4" w:space="0"/>
            </w:tcBorders>
            <w:shd w:val="clear" w:color="auto" w:fill="FFFFFF"/>
            <w:vAlign w:val="center"/>
          </w:tcPr>
          <w:p>
            <w:pPr>
              <w:pStyle w:val="51"/>
            </w:pPr>
          </w:p>
        </w:tc>
        <w:tc>
          <w:tcPr>
            <w:tcW w:w="2409" w:type="dxa"/>
            <w:vMerge w:val="continue"/>
            <w:tcBorders>
              <w:left w:val="single" w:color="000000" w:sz="4" w:space="0"/>
              <w:right w:val="single" w:color="000000" w:sz="4" w:space="0"/>
            </w:tcBorders>
            <w:shd w:val="clear" w:color="auto" w:fill="FFFFFF"/>
            <w:vAlign w:val="center"/>
          </w:tcPr>
          <w:p>
            <w:pPr>
              <w:pStyle w:val="51"/>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三级：每周期年面向群众开展健康生活方式、科学健身指导、运动损伤防护、慢病防治等方面的线下健身知识讲座或培训不少于1场次。</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continue"/>
            <w:tcBorders>
              <w:left w:val="single" w:color="000000" w:sz="12" w:space="0"/>
              <w:right w:val="single" w:color="000000" w:sz="4" w:space="0"/>
            </w:tcBorders>
            <w:shd w:val="clear" w:color="auto" w:fill="FFFFFF"/>
            <w:vAlign w:val="center"/>
          </w:tcPr>
          <w:p>
            <w:pPr>
              <w:pStyle w:val="51"/>
            </w:pPr>
          </w:p>
        </w:tc>
        <w:tc>
          <w:tcPr>
            <w:tcW w:w="2409" w:type="dxa"/>
            <w:vMerge w:val="continue"/>
            <w:tcBorders>
              <w:left w:val="single" w:color="000000" w:sz="4" w:space="0"/>
              <w:right w:val="single" w:color="000000" w:sz="4" w:space="0"/>
            </w:tcBorders>
            <w:shd w:val="clear" w:color="auto" w:fill="FFFFFF"/>
            <w:vAlign w:val="center"/>
          </w:tcPr>
          <w:p>
            <w:pPr>
              <w:pStyle w:val="51"/>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满足必备条件的基础上，每增加1场，加2分，上限为8分。</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r>
              <w:rPr>
                <w:rFonts w:hint="eastAsia"/>
              </w:rPr>
              <w:t>-</w:t>
            </w:r>
          </w:p>
        </w:tc>
        <w:tc>
          <w:tcPr>
            <w:tcW w:w="105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continue"/>
            <w:tcBorders>
              <w:left w:val="single" w:color="000000" w:sz="12" w:space="0"/>
              <w:right w:val="single" w:color="000000" w:sz="4" w:space="0"/>
            </w:tcBorders>
            <w:shd w:val="clear" w:color="auto" w:fill="FFFFFF"/>
            <w:vAlign w:val="center"/>
          </w:tcPr>
          <w:p>
            <w:pPr>
              <w:pStyle w:val="51"/>
            </w:pPr>
          </w:p>
        </w:tc>
        <w:tc>
          <w:tcPr>
            <w:tcW w:w="2409" w:type="dxa"/>
            <w:vMerge w:val="restart"/>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3.6体育赛事保障</w:t>
            </w:r>
          </w:p>
          <w:p>
            <w:pPr>
              <w:pStyle w:val="76"/>
              <w:widowControl w:val="0"/>
              <w:rPr>
                <w:rFonts w:asciiTheme="minorEastAsia" w:hAnsiTheme="minorEastAsia" w:eastAsiaTheme="minorEastAsia"/>
                <w:szCs w:val="18"/>
              </w:rPr>
            </w:pPr>
            <w:r>
              <w:rPr>
                <w:rFonts w:hint="eastAsia" w:asciiTheme="minorEastAsia" w:hAnsiTheme="minorEastAsia" w:eastAsiaTheme="minorEastAsia"/>
                <w:szCs w:val="18"/>
              </w:rPr>
              <w:t>（8分）</w:t>
            </w: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一级：每周期年提供运动队医疗保障或体育赛事活动保障不少于5（含）场次。</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continue"/>
            <w:tcBorders>
              <w:left w:val="single" w:color="000000" w:sz="12" w:space="0"/>
              <w:right w:val="single" w:color="000000" w:sz="4" w:space="0"/>
            </w:tcBorders>
            <w:shd w:val="clear" w:color="auto" w:fill="FFFFFF"/>
          </w:tcPr>
          <w:p>
            <w:pPr>
              <w:pStyle w:val="51"/>
            </w:pPr>
          </w:p>
        </w:tc>
        <w:tc>
          <w:tcPr>
            <w:tcW w:w="2409"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二级：每周期年提供运动队医疗保障或体育赛事活动保障不少于3场次。</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2" w:type="dxa"/>
            <w:vMerge w:val="continue"/>
            <w:tcBorders>
              <w:left w:val="single" w:color="000000" w:sz="12" w:space="0"/>
              <w:right w:val="single" w:color="000000" w:sz="4" w:space="0"/>
            </w:tcBorders>
            <w:shd w:val="clear" w:color="auto" w:fill="FFFFFF"/>
          </w:tcPr>
          <w:p>
            <w:pPr>
              <w:pStyle w:val="51"/>
            </w:pPr>
          </w:p>
        </w:tc>
        <w:tc>
          <w:tcPr>
            <w:tcW w:w="2409" w:type="dxa"/>
            <w:vMerge w:val="continue"/>
            <w:tcBorders>
              <w:left w:val="single" w:color="000000" w:sz="4" w:space="0"/>
              <w:right w:val="single" w:color="000000" w:sz="4" w:space="0"/>
            </w:tcBorders>
            <w:shd w:val="clear" w:color="auto" w:fill="FFFFFF"/>
            <w:vAlign w:val="center"/>
          </w:tcPr>
          <w:p>
            <w:pPr>
              <w:pStyle w:val="76"/>
              <w:widowControl w:val="0"/>
              <w:rPr>
                <w:rFonts w:asciiTheme="minorEastAsia" w:hAnsiTheme="minorEastAsia" w:eastAsiaTheme="minorEastAsia"/>
                <w:szCs w:val="18"/>
              </w:rPr>
            </w:pPr>
          </w:p>
        </w:tc>
        <w:tc>
          <w:tcPr>
            <w:tcW w:w="82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6"/>
              <w:widowControl w:val="0"/>
              <w:jc w:val="both"/>
              <w:rPr>
                <w:rFonts w:asciiTheme="minorEastAsia" w:hAnsiTheme="minorEastAsia" w:eastAsiaTheme="minorEastAsia"/>
                <w:szCs w:val="18"/>
              </w:rPr>
            </w:pPr>
            <w:r>
              <w:rPr>
                <w:rFonts w:hint="eastAsia" w:asciiTheme="minorEastAsia" w:hAnsiTheme="minorEastAsia" w:eastAsiaTheme="minorEastAsia"/>
                <w:szCs w:val="18"/>
              </w:rPr>
              <w:t>三级：每周期年提供运动队医疗保障或体育赛事活动保障不少于1场次。</w:t>
            </w:r>
          </w:p>
        </w:tc>
        <w:tc>
          <w:tcPr>
            <w:tcW w:w="1134" w:type="dxa"/>
            <w:tcBorders>
              <w:top w:val="single" w:color="000000" w:sz="4" w:space="0"/>
              <w:left w:val="single" w:color="000000" w:sz="4" w:space="0"/>
              <w:bottom w:val="single" w:color="000000" w:sz="4" w:space="0"/>
              <w:right w:val="single" w:color="auto" w:sz="4" w:space="0"/>
            </w:tcBorders>
            <w:shd w:val="clear" w:color="auto" w:fill="FFFFFF"/>
          </w:tcPr>
          <w:p>
            <w:pPr>
              <w:pStyle w:val="51"/>
            </w:pPr>
          </w:p>
        </w:tc>
        <w:tc>
          <w:tcPr>
            <w:tcW w:w="1056" w:type="dxa"/>
            <w:tcBorders>
              <w:top w:val="single" w:color="000000" w:sz="4" w:space="0"/>
              <w:left w:val="single" w:color="auto" w:sz="4" w:space="0"/>
              <w:bottom w:val="single" w:color="000000" w:sz="4" w:space="0"/>
              <w:right w:val="single" w:color="000000" w:sz="12" w:space="0"/>
            </w:tcBorders>
            <w:shd w:val="clear" w:color="auto" w:fill="FFFFFF"/>
            <w:vAlign w:val="center"/>
          </w:tcPr>
          <w:p>
            <w:pPr>
              <w:pStyle w:val="51"/>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dxa"/>
            <w:vMerge w:val="continue"/>
            <w:tcBorders>
              <w:left w:val="single" w:color="000000" w:sz="12" w:space="0"/>
              <w:bottom w:val="single" w:color="000000" w:sz="12" w:space="0"/>
              <w:right w:val="single" w:color="000000" w:sz="4" w:space="0"/>
            </w:tcBorders>
            <w:shd w:val="clear" w:color="auto" w:fill="FFFFFF"/>
          </w:tcPr>
          <w:p>
            <w:pPr>
              <w:pStyle w:val="51"/>
            </w:pPr>
          </w:p>
        </w:tc>
        <w:tc>
          <w:tcPr>
            <w:tcW w:w="2409" w:type="dxa"/>
            <w:vMerge w:val="continue"/>
            <w:tcBorders>
              <w:left w:val="single" w:color="000000" w:sz="4" w:space="0"/>
              <w:bottom w:val="single" w:color="000000" w:sz="12" w:space="0"/>
              <w:right w:val="single" w:color="000000" w:sz="4" w:space="0"/>
            </w:tcBorders>
            <w:shd w:val="clear" w:color="auto" w:fill="FFFFFF"/>
            <w:vAlign w:val="center"/>
          </w:tcPr>
          <w:p>
            <w:pPr>
              <w:pStyle w:val="51"/>
            </w:pPr>
          </w:p>
        </w:tc>
        <w:tc>
          <w:tcPr>
            <w:tcW w:w="8222" w:type="dxa"/>
            <w:tcBorders>
              <w:top w:val="single" w:color="000000" w:sz="4" w:space="0"/>
              <w:left w:val="single" w:color="000000" w:sz="4" w:space="0"/>
              <w:bottom w:val="single" w:color="000000" w:sz="12" w:space="0"/>
              <w:right w:val="single" w:color="000000" w:sz="4" w:space="0"/>
            </w:tcBorders>
            <w:shd w:val="clear" w:color="auto" w:fill="FFFFFF"/>
            <w:vAlign w:val="center"/>
          </w:tcPr>
          <w:p>
            <w:pPr>
              <w:pStyle w:val="76"/>
              <w:widowControl w:val="0"/>
              <w:jc w:val="left"/>
              <w:rPr>
                <w:rFonts w:asciiTheme="minorEastAsia" w:hAnsiTheme="minorEastAsia" w:eastAsiaTheme="minorEastAsia"/>
                <w:szCs w:val="18"/>
              </w:rPr>
            </w:pPr>
            <w:r>
              <w:rPr>
                <w:rFonts w:hint="eastAsia" w:asciiTheme="minorEastAsia" w:hAnsiTheme="minorEastAsia" w:eastAsiaTheme="minorEastAsia"/>
                <w:szCs w:val="18"/>
              </w:rPr>
              <w:t>满足必备条件的基础上，每增加1场，加2分，上限为8分。</w:t>
            </w:r>
          </w:p>
        </w:tc>
        <w:tc>
          <w:tcPr>
            <w:tcW w:w="1134" w:type="dxa"/>
            <w:tcBorders>
              <w:top w:val="single" w:color="000000" w:sz="4" w:space="0"/>
              <w:left w:val="single" w:color="000000" w:sz="4" w:space="0"/>
              <w:bottom w:val="single" w:color="000000" w:sz="12" w:space="0"/>
              <w:right w:val="single" w:color="auto" w:sz="4" w:space="0"/>
            </w:tcBorders>
            <w:shd w:val="clear" w:color="auto" w:fill="FFFFFF"/>
          </w:tcPr>
          <w:p>
            <w:pPr>
              <w:pStyle w:val="51"/>
            </w:pPr>
            <w:r>
              <w:rPr>
                <w:rFonts w:hint="eastAsia"/>
              </w:rPr>
              <w:t>-</w:t>
            </w:r>
          </w:p>
        </w:tc>
        <w:tc>
          <w:tcPr>
            <w:tcW w:w="1056" w:type="dxa"/>
            <w:tcBorders>
              <w:top w:val="single" w:color="000000" w:sz="4" w:space="0"/>
              <w:left w:val="single" w:color="auto" w:sz="4" w:space="0"/>
              <w:bottom w:val="single" w:color="000000" w:sz="12" w:space="0"/>
              <w:right w:val="single" w:color="000000" w:sz="12" w:space="0"/>
            </w:tcBorders>
            <w:shd w:val="clear" w:color="auto" w:fill="FFFFFF"/>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3" w:type="dxa"/>
            <w:gridSpan w:val="5"/>
            <w:tcBorders>
              <w:top w:val="single" w:color="000000" w:sz="12" w:space="0"/>
              <w:left w:val="single" w:color="000000" w:sz="12" w:space="0"/>
              <w:bottom w:val="single" w:color="000000" w:sz="12" w:space="0"/>
              <w:right w:val="single" w:color="000000" w:sz="12" w:space="0"/>
            </w:tcBorders>
            <w:shd w:val="clear" w:color="auto" w:fill="FFFFFF"/>
          </w:tcPr>
          <w:p>
            <w:pPr>
              <w:pStyle w:val="51"/>
              <w:ind w:firstLine="360" w:firstLineChars="200"/>
              <w:jc w:val="left"/>
            </w:pPr>
            <w:r>
              <w:rPr>
                <w:rFonts w:hint="eastAsia" w:ascii="黑体" w:hAnsi="黑体" w:eastAsia="黑体"/>
              </w:rPr>
              <w:t>注1</w:t>
            </w:r>
            <w:r>
              <w:rPr>
                <w:rFonts w:hint="eastAsia"/>
              </w:rPr>
              <w:t>：符合一级、二级和三级相应必备条件的，在必备条件栏打“</w:t>
            </w:r>
            <w:r>
              <w:rPr>
                <w:rFonts w:ascii="Segoe UI Symbol" w:hAnsi="Segoe UI Symbol" w:cs="Segoe UI Symbol"/>
              </w:rPr>
              <w:t>✔</w:t>
            </w:r>
            <w:r>
              <w:rPr>
                <w:rFonts w:ascii="Times New Roman"/>
              </w:rPr>
              <w:t>”</w:t>
            </w:r>
            <w:r>
              <w:rPr>
                <w:rFonts w:hint="eastAsia"/>
              </w:rPr>
              <w:t>；设置分值的为加分项，根据分值依据在打分栏填上分值。</w:t>
            </w:r>
          </w:p>
          <w:p>
            <w:pPr>
              <w:pStyle w:val="51"/>
              <w:ind w:firstLine="360" w:firstLineChars="200"/>
              <w:jc w:val="left"/>
            </w:pPr>
            <w:r>
              <w:rPr>
                <w:rFonts w:hint="eastAsia" w:ascii="黑体" w:hAnsi="黑体" w:eastAsia="黑体"/>
              </w:rPr>
              <w:t>注2</w:t>
            </w:r>
            <w:r>
              <w:rPr>
                <w:rFonts w:hint="eastAsia"/>
              </w:rPr>
              <w:t>：必备条件符合一级的则默认符合二级和三级，必备条件最终符合的级别要求该级别必备条件任一项不得为空。</w:t>
            </w:r>
          </w:p>
        </w:tc>
      </w:tr>
    </w:tbl>
    <w:p>
      <w:pPr>
        <w:pStyle w:val="51"/>
      </w:pPr>
    </w:p>
    <w:p>
      <w:pPr>
        <w:pStyle w:val="51"/>
      </w:pPr>
    </w:p>
    <w:p>
      <w:pPr>
        <w:pStyle w:val="51"/>
        <w:sectPr>
          <w:headerReference r:id="rId22" w:type="default"/>
          <w:footerReference r:id="rId24" w:type="default"/>
          <w:headerReference r:id="rId23" w:type="even"/>
          <w:footerReference r:id="rId25" w:type="even"/>
          <w:pgSz w:w="16838" w:h="11906" w:orient="landscape"/>
          <w:pgMar w:top="1417" w:right="1134" w:bottom="1418" w:left="1417" w:header="1417" w:footer="1417" w:gutter="0"/>
          <w:cols w:space="425" w:num="1"/>
          <w:docGrid w:type="lines" w:linePitch="312" w:charSpace="0"/>
        </w:sectPr>
      </w:pPr>
    </w:p>
    <w:p>
      <w:pPr>
        <w:pStyle w:val="6"/>
        <w:adjustRightInd w:val="0"/>
        <w:snapToGrid w:val="0"/>
        <w:spacing w:before="567"/>
        <w:ind w:firstLine="0"/>
        <w:jc w:val="center"/>
        <w:outlineLvl w:val="0"/>
        <w:rPr>
          <w:rFonts w:ascii="黑体" w:hAnsi="黑体" w:eastAsia="黑体" w:cs="黑体"/>
          <w:szCs w:val="21"/>
        </w:rPr>
      </w:pPr>
      <w:bookmarkStart w:id="153" w:name="_Toc16663"/>
      <w:r>
        <w:rPr>
          <w:rFonts w:hint="eastAsia" w:ascii="黑体" w:hAnsi="黑体" w:eastAsia="黑体" w:cs="黑体"/>
          <w:szCs w:val="21"/>
        </w:rPr>
        <w:t>附  录  B</w:t>
      </w:r>
      <w:bookmarkEnd w:id="153"/>
    </w:p>
    <w:p>
      <w:pPr>
        <w:pStyle w:val="7"/>
        <w:jc w:val="center"/>
        <w:outlineLvl w:val="0"/>
        <w:rPr>
          <w:rFonts w:ascii="黑体" w:hAnsi="黑体" w:eastAsia="黑体" w:cs="黑体"/>
          <w:sz w:val="21"/>
          <w:szCs w:val="21"/>
        </w:rPr>
      </w:pPr>
      <w:bookmarkStart w:id="154" w:name="_Toc8202"/>
      <w:bookmarkStart w:id="155" w:name="_Toc12726"/>
      <w:r>
        <w:rPr>
          <w:rFonts w:hint="eastAsia" w:ascii="黑体" w:hAnsi="黑体" w:eastAsia="黑体" w:cs="黑体"/>
          <w:sz w:val="21"/>
          <w:szCs w:val="21"/>
        </w:rPr>
        <w:t>（资料性）</w:t>
      </w:r>
      <w:bookmarkEnd w:id="154"/>
      <w:bookmarkEnd w:id="155"/>
    </w:p>
    <w:p>
      <w:pPr>
        <w:pStyle w:val="7"/>
        <w:adjustRightInd w:val="0"/>
        <w:spacing w:after="283"/>
        <w:jc w:val="center"/>
        <w:outlineLvl w:val="0"/>
        <w:rPr>
          <w:rFonts w:ascii="黑体" w:hAnsi="黑体" w:eastAsia="黑体"/>
          <w:color w:val="000000"/>
          <w:sz w:val="21"/>
          <w:szCs w:val="21"/>
        </w:rPr>
      </w:pPr>
      <w:bookmarkStart w:id="156" w:name="_Toc16237"/>
      <w:bookmarkStart w:id="157" w:name="_Toc1592"/>
      <w:r>
        <w:rPr>
          <w:rFonts w:hint="eastAsia" w:ascii="黑体" w:hAnsi="黑体" w:eastAsia="黑体"/>
          <w:color w:val="000000"/>
          <w:sz w:val="21"/>
          <w:szCs w:val="21"/>
        </w:rPr>
        <w:t>问卷调查</w:t>
      </w:r>
      <w:bookmarkEnd w:id="156"/>
      <w:bookmarkEnd w:id="157"/>
    </w:p>
    <w:p>
      <w:pPr>
        <w:pStyle w:val="51"/>
        <w:keepNext w:val="0"/>
        <w:keepLines w:val="0"/>
        <w:pageBreakBefore w:val="0"/>
        <w:widowControl w:val="0"/>
        <w:kinsoku/>
        <w:wordWrap/>
        <w:overflowPunct/>
        <w:topLinePunct w:val="0"/>
        <w:autoSpaceDE w:val="0"/>
        <w:autoSpaceDN w:val="0"/>
        <w:bidi w:val="0"/>
        <w:adjustRightInd/>
        <w:snapToGrid/>
        <w:ind w:firstLine="420" w:firstLineChars="200"/>
        <w:jc w:val="left"/>
        <w:textAlignment w:val="auto"/>
        <w:rPr>
          <w:sz w:val="21"/>
          <w:szCs w:val="21"/>
        </w:rPr>
      </w:pPr>
      <w:r>
        <w:rPr>
          <w:rFonts w:hint="eastAsia"/>
          <w:sz w:val="21"/>
          <w:szCs w:val="21"/>
        </w:rPr>
        <w:t>问卷调查表内容见示例。</w:t>
      </w:r>
    </w:p>
    <w:p>
      <w:pPr>
        <w:pStyle w:val="51"/>
        <w:keepNext w:val="0"/>
        <w:keepLines w:val="0"/>
        <w:pageBreakBefore w:val="0"/>
        <w:widowControl w:val="0"/>
        <w:kinsoku/>
        <w:wordWrap/>
        <w:overflowPunct/>
        <w:topLinePunct w:val="0"/>
        <w:autoSpaceDE w:val="0"/>
        <w:autoSpaceDN w:val="0"/>
        <w:bidi w:val="0"/>
        <w:adjustRightInd/>
        <w:snapToGrid/>
        <w:ind w:firstLine="360" w:firstLineChars="200"/>
        <w:jc w:val="left"/>
        <w:textAlignment w:val="auto"/>
      </w:pPr>
      <w:r>
        <w:rPr>
          <w:rFonts w:hint="eastAsia" w:ascii="黑体" w:hAnsi="黑体" w:eastAsia="黑体" w:cs="黑体"/>
          <w:sz w:val="18"/>
          <w:szCs w:val="18"/>
        </w:rPr>
        <mc:AlternateContent>
          <mc:Choice Requires="wps">
            <w:drawing>
              <wp:anchor distT="45720" distB="45720" distL="114300" distR="114300" simplePos="0" relativeHeight="251665408" behindDoc="0" locked="0" layoutInCell="1" allowOverlap="1">
                <wp:simplePos x="0" y="0"/>
                <wp:positionH relativeFrom="column">
                  <wp:posOffset>170815</wp:posOffset>
                </wp:positionH>
                <wp:positionV relativeFrom="paragraph">
                  <wp:posOffset>293370</wp:posOffset>
                </wp:positionV>
                <wp:extent cx="5837555" cy="1404620"/>
                <wp:effectExtent l="9525" t="9525" r="20320" b="14605"/>
                <wp:wrapSquare wrapText="bothSides"/>
                <wp:docPr id="217"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5837555" cy="1404620"/>
                        </a:xfrm>
                        <a:prstGeom prst="rect">
                          <a:avLst/>
                        </a:prstGeom>
                        <a:solidFill>
                          <a:srgbClr val="FFFFFF"/>
                        </a:solidFill>
                        <a:ln w="19050">
                          <a:solidFill>
                            <a:srgbClr val="000000"/>
                          </a:solidFill>
                          <a:miter lim="800000"/>
                        </a:ln>
                      </wps:spPr>
                      <wps:txbx>
                        <w:txbxContent>
                          <w:p>
                            <w:pPr>
                              <w:pStyle w:val="76"/>
                              <w:rPr>
                                <w:b/>
                                <w:sz w:val="21"/>
                              </w:rPr>
                            </w:pPr>
                            <w:r>
                              <w:rPr>
                                <w:rFonts w:hint="eastAsia"/>
                                <w:b/>
                              </w:rPr>
                              <w:t>运动能力评估问卷调查</w:t>
                            </w:r>
                          </w:p>
                          <w:p>
                            <w:pPr>
                              <w:pStyle w:val="76"/>
                              <w:jc w:val="both"/>
                            </w:pPr>
                            <w:r>
                              <w:rPr>
                                <w:rFonts w:hint="eastAsia"/>
                              </w:rPr>
                              <w:t>运动能力评估问卷调查是评估个体运动能力的一种工具，通常包括一系列问题，旨在了解受访者的身体状况、运动习惯、运动能力水平、运动损伤史以及参与运动的意愿等方面。以下是一个简化的运动能力评估问卷调查示例，但请注意，具体问卷应根据评估目的和目标人群进行定制：</w:t>
                            </w:r>
                          </w:p>
                          <w:p>
                            <w:pPr>
                              <w:pStyle w:val="76"/>
                              <w:jc w:val="both"/>
                            </w:pPr>
                          </w:p>
                          <w:p>
                            <w:pPr>
                              <w:pStyle w:val="76"/>
                              <w:jc w:val="both"/>
                            </w:pPr>
                            <w:r>
                              <w:rPr>
                                <w:rFonts w:hint="eastAsia"/>
                              </w:rPr>
                              <w:t>基本信息</w:t>
                            </w:r>
                          </w:p>
                          <w:p>
                            <w:pPr>
                              <w:pStyle w:val="76"/>
                              <w:jc w:val="both"/>
                            </w:pPr>
                            <w:r>
                              <w:rPr>
                                <w:rFonts w:hint="eastAsia"/>
                              </w:rPr>
                              <w:t>年龄：</w:t>
                            </w:r>
                          </w:p>
                          <w:p>
                            <w:pPr>
                              <w:pStyle w:val="76"/>
                              <w:jc w:val="both"/>
                            </w:pPr>
                            <w:r>
                              <w:rPr>
                                <w:rFonts w:hint="eastAsia"/>
                              </w:rPr>
                              <w:t>性别：</w:t>
                            </w:r>
                          </w:p>
                          <w:p>
                            <w:pPr>
                              <w:pStyle w:val="76"/>
                              <w:jc w:val="both"/>
                            </w:pPr>
                            <w:r>
                              <w:rPr>
                                <w:rFonts w:hint="eastAsia"/>
                              </w:rPr>
                              <w:t>身高：</w:t>
                            </w:r>
                          </w:p>
                          <w:p>
                            <w:pPr>
                              <w:pStyle w:val="76"/>
                              <w:jc w:val="both"/>
                            </w:pPr>
                            <w:r>
                              <w:rPr>
                                <w:rFonts w:hint="eastAsia"/>
                              </w:rPr>
                              <w:t>体重：</w:t>
                            </w:r>
                          </w:p>
                          <w:p>
                            <w:pPr>
                              <w:pStyle w:val="76"/>
                              <w:jc w:val="both"/>
                            </w:pPr>
                            <w:r>
                              <w:rPr>
                                <w:rFonts w:hint="eastAsia"/>
                              </w:rPr>
                              <w:t>职业：</w:t>
                            </w:r>
                          </w:p>
                          <w:p>
                            <w:pPr>
                              <w:pStyle w:val="76"/>
                              <w:jc w:val="both"/>
                            </w:pPr>
                            <w:r>
                              <w:rPr>
                                <w:rFonts w:hint="eastAsia"/>
                              </w:rPr>
                              <w:t>健康状况</w:t>
                            </w:r>
                          </w:p>
                          <w:p>
                            <w:pPr>
                              <w:pStyle w:val="76"/>
                              <w:jc w:val="both"/>
                            </w:pPr>
                          </w:p>
                          <w:p>
                            <w:pPr>
                              <w:pStyle w:val="76"/>
                              <w:jc w:val="both"/>
                            </w:pPr>
                            <w:r>
                              <w:rPr>
                                <w:rFonts w:hint="eastAsia"/>
                              </w:rPr>
                              <w:t>您是否有任何慢性疾病或长期健康问题？（如心脏病、高血压、糖尿病等）</w:t>
                            </w:r>
                          </w:p>
                          <w:p>
                            <w:pPr>
                              <w:pStyle w:val="76"/>
                              <w:jc w:val="both"/>
                            </w:pPr>
                            <w:r>
                              <w:rPr>
                                <w:rFonts w:hint="eastAsia"/>
                              </w:rPr>
                              <w:t>您最近一年内是否有过严重的运动损伤或手术？</w:t>
                            </w:r>
                          </w:p>
                          <w:p>
                            <w:pPr>
                              <w:pStyle w:val="76"/>
                              <w:jc w:val="both"/>
                            </w:pPr>
                            <w:r>
                              <w:rPr>
                                <w:rFonts w:hint="eastAsia"/>
                              </w:rPr>
                              <w:t>运动习惯：</w:t>
                            </w:r>
                          </w:p>
                          <w:p>
                            <w:pPr>
                              <w:pStyle w:val="76"/>
                              <w:jc w:val="both"/>
                            </w:pPr>
                            <w:r>
                              <w:rPr>
                                <w:rFonts w:hint="eastAsia"/>
                              </w:rPr>
                              <w:t>您每周进行几次体育锻炼？</w:t>
                            </w:r>
                          </w:p>
                          <w:p>
                            <w:pPr>
                              <w:pStyle w:val="76"/>
                              <w:jc w:val="both"/>
                            </w:pPr>
                            <w:r>
                              <w:rPr>
                                <w:rFonts w:hint="eastAsia"/>
                              </w:rPr>
                              <w:t>每次锻炼的平均时长是多少？</w:t>
                            </w:r>
                          </w:p>
                          <w:p>
                            <w:pPr>
                              <w:pStyle w:val="76"/>
                              <w:jc w:val="both"/>
                            </w:pPr>
                            <w:r>
                              <w:rPr>
                                <w:rFonts w:hint="eastAsia"/>
                              </w:rPr>
                              <w:t>您通常参与哪些类型的运动？（如跑步、游泳、瑜伽、篮球等）</w:t>
                            </w:r>
                          </w:p>
                          <w:p>
                            <w:pPr>
                              <w:pStyle w:val="76"/>
                              <w:jc w:val="both"/>
                            </w:pPr>
                            <w:r>
                              <w:rPr>
                                <w:rFonts w:hint="eastAsia"/>
                              </w:rPr>
                              <w:t>运动能力评估：</w:t>
                            </w:r>
                          </w:p>
                          <w:p>
                            <w:pPr>
                              <w:pStyle w:val="76"/>
                              <w:jc w:val="both"/>
                            </w:pPr>
                            <w:r>
                              <w:rPr>
                                <w:rFonts w:hint="eastAsia"/>
                              </w:rPr>
                              <w:t>您能轻松完成以下哪些运动？（如快走3公里、慢跑5公里、游泳1000米等）</w:t>
                            </w:r>
                          </w:p>
                          <w:p>
                            <w:pPr>
                              <w:pStyle w:val="76"/>
                              <w:jc w:val="both"/>
                            </w:pPr>
                            <w:r>
                              <w:rPr>
                                <w:rFonts w:hint="eastAsia"/>
                              </w:rPr>
                              <w:t>您在运动中是否经常感到疲劳或力不从心？</w:t>
                            </w:r>
                          </w:p>
                          <w:p>
                            <w:pPr>
                              <w:pStyle w:val="76"/>
                              <w:jc w:val="both"/>
                            </w:pPr>
                            <w:r>
                              <w:rPr>
                                <w:rFonts w:hint="eastAsia"/>
                              </w:rPr>
                              <w:t>您是否能够在不进行长时间休息的情况下连续完成多项运动？</w:t>
                            </w:r>
                          </w:p>
                          <w:p>
                            <w:pPr>
                              <w:pStyle w:val="76"/>
                              <w:jc w:val="both"/>
                            </w:pPr>
                            <w:r>
                              <w:rPr>
                                <w:rFonts w:hint="eastAsia"/>
                              </w:rPr>
                              <w:t>运动损伤史：</w:t>
                            </w:r>
                          </w:p>
                          <w:p>
                            <w:pPr>
                              <w:pStyle w:val="76"/>
                              <w:jc w:val="both"/>
                            </w:pPr>
                            <w:r>
                              <w:rPr>
                                <w:rFonts w:hint="eastAsia"/>
                              </w:rPr>
                              <w:t>您过去是否有过运动相关的损伤或疼痛？</w:t>
                            </w:r>
                          </w:p>
                          <w:p>
                            <w:pPr>
                              <w:pStyle w:val="76"/>
                              <w:jc w:val="both"/>
                            </w:pPr>
                            <w:r>
                              <w:rPr>
                                <w:rFonts w:hint="eastAsia"/>
                              </w:rPr>
                              <w:t>如果有，请描述损伤的具体情况和恢复过程。</w:t>
                            </w:r>
                          </w:p>
                          <w:p>
                            <w:pPr>
                              <w:pStyle w:val="76"/>
                              <w:jc w:val="both"/>
                            </w:pPr>
                            <w:r>
                              <w:rPr>
                                <w:rFonts w:hint="eastAsia"/>
                              </w:rPr>
                              <w:t>运动意愿：</w:t>
                            </w:r>
                          </w:p>
                          <w:p>
                            <w:pPr>
                              <w:pStyle w:val="76"/>
                              <w:jc w:val="both"/>
                            </w:pPr>
                            <w:r>
                              <w:rPr>
                                <w:rFonts w:hint="eastAsia"/>
                              </w:rPr>
                              <w:t>您对增加日常运动量或参与新运动项目的兴趣如何？</w:t>
                            </w:r>
                          </w:p>
                          <w:p>
                            <w:pPr>
                              <w:pStyle w:val="76"/>
                              <w:jc w:val="both"/>
                            </w:pPr>
                            <w:r>
                              <w:rPr>
                                <w:rFonts w:hint="eastAsia"/>
                              </w:rPr>
                              <w:t>您认为哪些因素可能阻碍您参与更多的运动？（如时间、经济条件、健康状况等）</w:t>
                            </w:r>
                          </w:p>
                          <w:p>
                            <w:pPr>
                              <w:pStyle w:val="76"/>
                              <w:jc w:val="both"/>
                            </w:pPr>
                            <w:r>
                              <w:rPr>
                                <w:rFonts w:hint="eastAsia"/>
                              </w:rPr>
                              <w:t>请注意，这只是一个基本框架，实际问卷可能需要根据具体情况进行调整。此外，对于专业运动员或需要进行详细运动能力评估的人群，可能需要采用更复杂的评估方法和工具，包括身体成分测试、力量测试、耐力测试、柔韧性测试等。</w:t>
                            </w:r>
                          </w:p>
                          <w:p>
                            <w:pPr>
                              <w:pStyle w:val="51"/>
                            </w:pPr>
                            <w:r>
                              <w:rPr>
                                <w:rFonts w:hint="eastAsia"/>
                              </w:rPr>
                              <w:t>如果您正在设计或参与一项运动能力评估问卷调查，建议咨询相关专业人士以确保问卷的有效性和准确性。</w:t>
                            </w:r>
                          </w:p>
                        </w:txbxContent>
                      </wps:txbx>
                      <wps:bodyPr rot="0" vert="horz" wrap="square" lIns="91440" tIns="45720" rIns="91440" bIns="45720" anchor="t" anchorCtr="false">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3.45pt;margin-top:23.1pt;height:110.6pt;width:459.65pt;mso-wrap-distance-bottom:3.6pt;mso-wrap-distance-left:9pt;mso-wrap-distance-right:9pt;mso-wrap-distance-top:3.6pt;z-index:251665408;mso-width-relative:page;mso-height-relative:margin;mso-height-percent:200;" fillcolor="#FFFFFF" filled="t" stroked="t" coordsize="21600,21600" o:gfxdata="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FgAAAGRycy9QSwECFAAUAAAACACHTuJARYKLktYAAAAJAQAADwAAAAAAAAABACAAAAA4AAAAZHJz&#10;L2Rvd25yZXYueG1sUEsBAhQAFAAAAAgAh07iQNKVtigpAgAAOwQAAA4AAAAAAAAAAQAgAAAAOwEA&#10;AGRycy9lMm9Eb2MueG1sUEsFBgAAAAAGAAYAWQEAANYFAAAAAA==&#10;">
                <v:fill on="t" focussize="0,0"/>
                <v:stroke weight="1.5pt" color="#000000" miterlimit="8" joinstyle="miter"/>
                <v:imagedata o:title=""/>
                <o:lock v:ext="edit" aspectratio="f"/>
                <v:textbox style="mso-fit-shape-to-text:t;">
                  <w:txbxContent>
                    <w:p>
                      <w:pPr>
                        <w:pStyle w:val="76"/>
                        <w:rPr>
                          <w:b/>
                          <w:sz w:val="21"/>
                        </w:rPr>
                      </w:pPr>
                      <w:r>
                        <w:rPr>
                          <w:rFonts w:hint="eastAsia"/>
                          <w:b/>
                        </w:rPr>
                        <w:t>运动能力评估问卷调查</w:t>
                      </w:r>
                    </w:p>
                    <w:p>
                      <w:pPr>
                        <w:pStyle w:val="76"/>
                        <w:jc w:val="both"/>
                      </w:pPr>
                      <w:r>
                        <w:rPr>
                          <w:rFonts w:hint="eastAsia"/>
                        </w:rPr>
                        <w:t>运动能力评估问卷调查是评估个体运动能力的一种工具，通常包括一系列问题，旨在了解受访者的身体状况、运动习惯、运动能力水平、运动损伤史以及参与运动的意愿等方面。以下是一个简化的运动能力评估问卷调查示例，但请注意，具体问卷应根据评估目的和目标人群进行定制：</w:t>
                      </w:r>
                    </w:p>
                    <w:p>
                      <w:pPr>
                        <w:pStyle w:val="76"/>
                        <w:jc w:val="both"/>
                      </w:pPr>
                    </w:p>
                    <w:p>
                      <w:pPr>
                        <w:pStyle w:val="76"/>
                        <w:jc w:val="both"/>
                      </w:pPr>
                      <w:r>
                        <w:rPr>
                          <w:rFonts w:hint="eastAsia"/>
                        </w:rPr>
                        <w:t>基本信息</w:t>
                      </w:r>
                    </w:p>
                    <w:p>
                      <w:pPr>
                        <w:pStyle w:val="76"/>
                        <w:jc w:val="both"/>
                      </w:pPr>
                      <w:r>
                        <w:rPr>
                          <w:rFonts w:hint="eastAsia"/>
                        </w:rPr>
                        <w:t>年龄：</w:t>
                      </w:r>
                    </w:p>
                    <w:p>
                      <w:pPr>
                        <w:pStyle w:val="76"/>
                        <w:jc w:val="both"/>
                      </w:pPr>
                      <w:r>
                        <w:rPr>
                          <w:rFonts w:hint="eastAsia"/>
                        </w:rPr>
                        <w:t>性别：</w:t>
                      </w:r>
                    </w:p>
                    <w:p>
                      <w:pPr>
                        <w:pStyle w:val="76"/>
                        <w:jc w:val="both"/>
                      </w:pPr>
                      <w:r>
                        <w:rPr>
                          <w:rFonts w:hint="eastAsia"/>
                        </w:rPr>
                        <w:t>身高：</w:t>
                      </w:r>
                    </w:p>
                    <w:p>
                      <w:pPr>
                        <w:pStyle w:val="76"/>
                        <w:jc w:val="both"/>
                      </w:pPr>
                      <w:r>
                        <w:rPr>
                          <w:rFonts w:hint="eastAsia"/>
                        </w:rPr>
                        <w:t>体重：</w:t>
                      </w:r>
                    </w:p>
                    <w:p>
                      <w:pPr>
                        <w:pStyle w:val="76"/>
                        <w:jc w:val="both"/>
                      </w:pPr>
                      <w:r>
                        <w:rPr>
                          <w:rFonts w:hint="eastAsia"/>
                        </w:rPr>
                        <w:t>职业：</w:t>
                      </w:r>
                    </w:p>
                    <w:p>
                      <w:pPr>
                        <w:pStyle w:val="76"/>
                        <w:jc w:val="both"/>
                      </w:pPr>
                      <w:r>
                        <w:rPr>
                          <w:rFonts w:hint="eastAsia"/>
                        </w:rPr>
                        <w:t>健康状况</w:t>
                      </w:r>
                    </w:p>
                    <w:p>
                      <w:pPr>
                        <w:pStyle w:val="76"/>
                        <w:jc w:val="both"/>
                      </w:pPr>
                    </w:p>
                    <w:p>
                      <w:pPr>
                        <w:pStyle w:val="76"/>
                        <w:jc w:val="both"/>
                      </w:pPr>
                      <w:r>
                        <w:rPr>
                          <w:rFonts w:hint="eastAsia"/>
                        </w:rPr>
                        <w:t>您是否有任何慢性疾病或长期健康问题？（如心脏病、高血压、糖尿病等）</w:t>
                      </w:r>
                    </w:p>
                    <w:p>
                      <w:pPr>
                        <w:pStyle w:val="76"/>
                        <w:jc w:val="both"/>
                      </w:pPr>
                      <w:r>
                        <w:rPr>
                          <w:rFonts w:hint="eastAsia"/>
                        </w:rPr>
                        <w:t>您最近一年内是否有过严重的运动损伤或手术？</w:t>
                      </w:r>
                    </w:p>
                    <w:p>
                      <w:pPr>
                        <w:pStyle w:val="76"/>
                        <w:jc w:val="both"/>
                      </w:pPr>
                      <w:r>
                        <w:rPr>
                          <w:rFonts w:hint="eastAsia"/>
                        </w:rPr>
                        <w:t>运动习惯：</w:t>
                      </w:r>
                    </w:p>
                    <w:p>
                      <w:pPr>
                        <w:pStyle w:val="76"/>
                        <w:jc w:val="both"/>
                      </w:pPr>
                      <w:r>
                        <w:rPr>
                          <w:rFonts w:hint="eastAsia"/>
                        </w:rPr>
                        <w:t>您每周进行几次体育锻炼？</w:t>
                      </w:r>
                    </w:p>
                    <w:p>
                      <w:pPr>
                        <w:pStyle w:val="76"/>
                        <w:jc w:val="both"/>
                      </w:pPr>
                      <w:r>
                        <w:rPr>
                          <w:rFonts w:hint="eastAsia"/>
                        </w:rPr>
                        <w:t>每次锻炼的平均时长是多少？</w:t>
                      </w:r>
                    </w:p>
                    <w:p>
                      <w:pPr>
                        <w:pStyle w:val="76"/>
                        <w:jc w:val="both"/>
                      </w:pPr>
                      <w:r>
                        <w:rPr>
                          <w:rFonts w:hint="eastAsia"/>
                        </w:rPr>
                        <w:t>您通常参与哪些类型的运动？（如跑步、游泳、瑜伽、篮球等）</w:t>
                      </w:r>
                    </w:p>
                    <w:p>
                      <w:pPr>
                        <w:pStyle w:val="76"/>
                        <w:jc w:val="both"/>
                      </w:pPr>
                      <w:r>
                        <w:rPr>
                          <w:rFonts w:hint="eastAsia"/>
                        </w:rPr>
                        <w:t>运动能力评估：</w:t>
                      </w:r>
                    </w:p>
                    <w:p>
                      <w:pPr>
                        <w:pStyle w:val="76"/>
                        <w:jc w:val="both"/>
                      </w:pPr>
                      <w:r>
                        <w:rPr>
                          <w:rFonts w:hint="eastAsia"/>
                        </w:rPr>
                        <w:t>您能轻松完成以下哪些运动？（如快走3公里、慢跑5公里、游泳1000米等）</w:t>
                      </w:r>
                    </w:p>
                    <w:p>
                      <w:pPr>
                        <w:pStyle w:val="76"/>
                        <w:jc w:val="both"/>
                      </w:pPr>
                      <w:r>
                        <w:rPr>
                          <w:rFonts w:hint="eastAsia"/>
                        </w:rPr>
                        <w:t>您在运动中是否经常感到疲劳或力不从心？</w:t>
                      </w:r>
                    </w:p>
                    <w:p>
                      <w:pPr>
                        <w:pStyle w:val="76"/>
                        <w:jc w:val="both"/>
                      </w:pPr>
                      <w:r>
                        <w:rPr>
                          <w:rFonts w:hint="eastAsia"/>
                        </w:rPr>
                        <w:t>您是否能够在不进行长时间休息的情况下连续完成多项运动？</w:t>
                      </w:r>
                    </w:p>
                    <w:p>
                      <w:pPr>
                        <w:pStyle w:val="76"/>
                        <w:jc w:val="both"/>
                      </w:pPr>
                      <w:r>
                        <w:rPr>
                          <w:rFonts w:hint="eastAsia"/>
                        </w:rPr>
                        <w:t>运动损伤史：</w:t>
                      </w:r>
                    </w:p>
                    <w:p>
                      <w:pPr>
                        <w:pStyle w:val="76"/>
                        <w:jc w:val="both"/>
                      </w:pPr>
                      <w:r>
                        <w:rPr>
                          <w:rFonts w:hint="eastAsia"/>
                        </w:rPr>
                        <w:t>您过去是否有过运动相关的损伤或疼痛？</w:t>
                      </w:r>
                    </w:p>
                    <w:p>
                      <w:pPr>
                        <w:pStyle w:val="76"/>
                        <w:jc w:val="both"/>
                      </w:pPr>
                      <w:r>
                        <w:rPr>
                          <w:rFonts w:hint="eastAsia"/>
                        </w:rPr>
                        <w:t>如果有，请描述损伤的具体情况和恢复过程。</w:t>
                      </w:r>
                    </w:p>
                    <w:p>
                      <w:pPr>
                        <w:pStyle w:val="76"/>
                        <w:jc w:val="both"/>
                      </w:pPr>
                      <w:r>
                        <w:rPr>
                          <w:rFonts w:hint="eastAsia"/>
                        </w:rPr>
                        <w:t>运动意愿：</w:t>
                      </w:r>
                    </w:p>
                    <w:p>
                      <w:pPr>
                        <w:pStyle w:val="76"/>
                        <w:jc w:val="both"/>
                      </w:pPr>
                      <w:r>
                        <w:rPr>
                          <w:rFonts w:hint="eastAsia"/>
                        </w:rPr>
                        <w:t>您对增加日常运动量或参与新运动项目的兴趣如何？</w:t>
                      </w:r>
                    </w:p>
                    <w:p>
                      <w:pPr>
                        <w:pStyle w:val="76"/>
                        <w:jc w:val="both"/>
                      </w:pPr>
                      <w:r>
                        <w:rPr>
                          <w:rFonts w:hint="eastAsia"/>
                        </w:rPr>
                        <w:t>您认为哪些因素可能阻碍您参与更多的运动？（如时间、经济条件、健康状况等）</w:t>
                      </w:r>
                    </w:p>
                    <w:p>
                      <w:pPr>
                        <w:pStyle w:val="76"/>
                        <w:jc w:val="both"/>
                      </w:pPr>
                      <w:r>
                        <w:rPr>
                          <w:rFonts w:hint="eastAsia"/>
                        </w:rPr>
                        <w:t>请注意，这只是一个基本框架，实际问卷可能需要根据具体情况进行调整。此外，对于专业运动员或需要进行详细运动能力评估的人群，可能需要采用更复杂的评估方法和工具，包括身体成分测试、力量测试、耐力测试、柔韧性测试等。</w:t>
                      </w:r>
                    </w:p>
                    <w:p>
                      <w:pPr>
                        <w:pStyle w:val="51"/>
                      </w:pPr>
                      <w:r>
                        <w:rPr>
                          <w:rFonts w:hint="eastAsia"/>
                        </w:rPr>
                        <w:t>如果您正在设计或参与一项运动能力评估问卷调查，建议咨询相关专业人士以确保问卷的有效性和准确性。</w:t>
                      </w:r>
                    </w:p>
                  </w:txbxContent>
                </v:textbox>
                <w10:wrap type="square"/>
              </v:shape>
            </w:pict>
          </mc:Fallback>
        </mc:AlternateContent>
      </w:r>
      <w:r>
        <w:rPr>
          <w:rFonts w:hint="eastAsia" w:ascii="黑体" w:hAnsi="黑体" w:eastAsia="黑体" w:cs="黑体"/>
          <w:sz w:val="18"/>
          <w:szCs w:val="18"/>
        </w:rPr>
        <w:t>示例</w:t>
      </w:r>
      <w:r>
        <w:rPr>
          <w:rFonts w:hint="eastAsia"/>
        </w:rPr>
        <w:t>：</w:t>
      </w:r>
    </w:p>
    <w:p>
      <w:pPr>
        <w:pStyle w:val="51"/>
        <w:jc w:val="both"/>
        <w:sectPr>
          <w:pgSz w:w="11906" w:h="16838"/>
          <w:pgMar w:top="1417" w:right="1134" w:bottom="1134" w:left="1417" w:header="1417" w:footer="1134" w:gutter="0"/>
          <w:cols w:space="425" w:num="1"/>
          <w:docGrid w:type="lines" w:linePitch="312" w:charSpace="0"/>
        </w:sectPr>
      </w:pPr>
    </w:p>
    <w:p>
      <w:pPr>
        <w:pStyle w:val="6"/>
        <w:keepNext w:val="0"/>
        <w:keepLines w:val="0"/>
        <w:pageBreakBefore w:val="0"/>
        <w:widowControl w:val="0"/>
        <w:kinsoku/>
        <w:wordWrap/>
        <w:overflowPunct/>
        <w:topLinePunct w:val="0"/>
        <w:autoSpaceDE/>
        <w:autoSpaceDN/>
        <w:bidi w:val="0"/>
        <w:adjustRightInd w:val="0"/>
        <w:snapToGrid w:val="0"/>
        <w:spacing w:before="567"/>
        <w:ind w:left="0" w:leftChars="0" w:firstLine="0" w:firstLineChars="0"/>
        <w:jc w:val="center"/>
        <w:textAlignment w:val="auto"/>
        <w:outlineLvl w:val="0"/>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附  录  C</w:t>
      </w:r>
    </w:p>
    <w:p>
      <w:pPr>
        <w:pStyle w:val="7"/>
        <w:jc w:val="center"/>
        <w:outlineLvl w:val="0"/>
        <w:rPr>
          <w:rFonts w:ascii="黑体" w:hAnsi="黑体" w:eastAsia="黑体" w:cs="黑体"/>
          <w:sz w:val="21"/>
          <w:szCs w:val="21"/>
        </w:rPr>
      </w:pPr>
      <w:r>
        <w:rPr>
          <w:rFonts w:hint="eastAsia" w:ascii="黑体" w:hAnsi="黑体" w:eastAsia="黑体" w:cs="黑体"/>
          <w:sz w:val="21"/>
          <w:szCs w:val="21"/>
        </w:rPr>
        <w:t>（资料性）</w:t>
      </w:r>
    </w:p>
    <w:p>
      <w:pPr>
        <w:pStyle w:val="7"/>
        <w:adjustRightInd w:val="0"/>
        <w:spacing w:after="283"/>
        <w:jc w:val="center"/>
        <w:outlineLvl w:val="0"/>
        <w:rPr>
          <w:rFonts w:ascii="黑体" w:hAnsi="黑体" w:eastAsia="黑体"/>
          <w:color w:val="000000"/>
          <w:sz w:val="21"/>
          <w:szCs w:val="21"/>
        </w:rPr>
      </w:pPr>
      <w:r>
        <w:rPr>
          <w:rFonts w:hint="eastAsia" w:ascii="黑体" w:hAnsi="黑体" w:eastAsia="黑体"/>
          <w:color w:val="000000"/>
          <w:sz w:val="21"/>
          <w:szCs w:val="21"/>
        </w:rPr>
        <w:t>知情同意书</w:t>
      </w:r>
    </w:p>
    <w:p>
      <w:pPr>
        <w:pStyle w:val="51"/>
        <w:keepNext w:val="0"/>
        <w:keepLines w:val="0"/>
        <w:pageBreakBefore w:val="0"/>
        <w:widowControl w:val="0"/>
        <w:kinsoku/>
        <w:wordWrap/>
        <w:overflowPunct/>
        <w:topLinePunct w:val="0"/>
        <w:autoSpaceDE w:val="0"/>
        <w:autoSpaceDN w:val="0"/>
        <w:bidi w:val="0"/>
        <w:adjustRightInd/>
        <w:snapToGrid/>
        <w:ind w:firstLine="420" w:firstLineChars="200"/>
        <w:jc w:val="left"/>
        <w:textAlignment w:val="auto"/>
        <w:rPr>
          <w:rFonts w:hint="eastAsia"/>
          <w:sz w:val="21"/>
          <w:szCs w:val="21"/>
        </w:rPr>
      </w:pPr>
      <w:r>
        <w:rPr>
          <w:rFonts w:hint="eastAsia"/>
          <w:sz w:val="21"/>
          <w:szCs w:val="21"/>
        </w:rPr>
        <w:t>知情同意书见示例。</w:t>
      </w:r>
    </w:p>
    <w:p>
      <w:pPr>
        <w:pStyle w:val="51"/>
        <w:keepNext w:val="0"/>
        <w:keepLines w:val="0"/>
        <w:pageBreakBefore w:val="0"/>
        <w:widowControl w:val="0"/>
        <w:kinsoku/>
        <w:wordWrap/>
        <w:overflowPunct/>
        <w:topLinePunct w:val="0"/>
        <w:autoSpaceDE w:val="0"/>
        <w:autoSpaceDN w:val="0"/>
        <w:bidi w:val="0"/>
        <w:adjustRightInd/>
        <w:snapToGrid/>
        <w:ind w:firstLine="360" w:firstLineChars="200"/>
        <w:jc w:val="left"/>
        <w:textAlignment w:val="auto"/>
        <w:rPr>
          <w:rFonts w:hint="eastAsia"/>
          <w:sz w:val="21"/>
          <w:szCs w:val="21"/>
        </w:rPr>
      </w:pPr>
      <w:r>
        <w:rPr>
          <w:rFonts w:hint="eastAsia" w:ascii="黑体" w:hAnsi="黑体" w:eastAsia="黑体" w:cs="黑体"/>
          <w:sz w:val="18"/>
          <w:szCs w:val="18"/>
        </w:rPr>
        <mc:AlternateContent>
          <mc:Choice Requires="wps">
            <w:drawing>
              <wp:anchor distT="45720" distB="45720" distL="114300" distR="114300" simplePos="0" relativeHeight="251666432" behindDoc="0" locked="0" layoutInCell="1" allowOverlap="1">
                <wp:simplePos x="0" y="0"/>
                <wp:positionH relativeFrom="column">
                  <wp:posOffset>19685</wp:posOffset>
                </wp:positionH>
                <wp:positionV relativeFrom="paragraph">
                  <wp:posOffset>266065</wp:posOffset>
                </wp:positionV>
                <wp:extent cx="5913755" cy="1404620"/>
                <wp:effectExtent l="9525" t="9525" r="20320" b="14605"/>
                <wp:wrapSquare wrapText="bothSides"/>
                <wp:docPr id="1"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5913755" cy="1404620"/>
                        </a:xfrm>
                        <a:prstGeom prst="rect">
                          <a:avLst/>
                        </a:prstGeom>
                        <a:solidFill>
                          <a:srgbClr val="FFFFFF"/>
                        </a:solidFill>
                        <a:ln w="19050">
                          <a:solidFill>
                            <a:srgbClr val="000000"/>
                          </a:solidFill>
                          <a:miter lim="800000"/>
                        </a:ln>
                      </wps:spPr>
                      <wps:txbx>
                        <w:txbxContent>
                          <w:p>
                            <w:pPr>
                              <w:widowControl/>
                              <w:autoSpaceDE w:val="0"/>
                              <w:autoSpaceDN w:val="0"/>
                              <w:jc w:val="center"/>
                              <w:rPr>
                                <w:rFonts w:ascii="宋体" w:hAnsi="Times New Roman" w:eastAsia="宋体" w:cs="Times New Roman"/>
                                <w:b/>
                                <w:kern w:val="0"/>
                                <w:sz w:val="18"/>
                                <w:szCs w:val="20"/>
                              </w:rPr>
                            </w:pPr>
                            <w:r>
                              <w:rPr>
                                <w:rFonts w:hint="eastAsia" w:ascii="宋体" w:hAnsi="Times New Roman" w:eastAsia="宋体" w:cs="Times New Roman"/>
                                <w:b/>
                                <w:kern w:val="0"/>
                                <w:sz w:val="18"/>
                                <w:szCs w:val="20"/>
                              </w:rPr>
                              <w:t>运动能力评估知情同意书</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一、信息告知</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1. 本评估旨在全面了解您的运动能力水平，包括力量、速度、耐力、柔韧性等方面。</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2. 评估过程中可能涉及多种测试项目，如俯卧撑、坐位体前屈、仰卧起坐、踏阶测试等。</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二、风险告知</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1. 评估过程中可能存在身体损伤的风险，如肌肉拉伤、关节扭伤等。</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2. 评估结果可能带来心理压力和焦虑。</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3. 对于已患有某些疾病的个体，评估可能会加重病情或引发不适。</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三、自愿选择</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本人已充分了解上述信息，并自愿选择参与运动能力评估。本人知晓自己的身体状况和能力，愿意承担由此带来的风险和责任。</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四、同意责任限制</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本人同意，在不涉及侵权行为的前提下，对于由于运动能力评估引发的任何损失或伤害，不会追究相关教练或评估机构的法律责任。</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五、有效期与撤销</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本知情同意书有效期为______。如本人有任何理由或需求，希望撤销参与运动能力评估的知情同意书，应及时书面通知相应的教练或评估机构。</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签字：__________</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日期：__________</w:t>
                            </w:r>
                          </w:p>
                          <w:p>
                            <w:r>
                              <w:rPr>
                                <w:rFonts w:hint="eastAsia" w:ascii="Calibri" w:hAnsi="Calibri" w:eastAsia="宋体" w:cs="Times New Roman"/>
                                <w:sz w:val="18"/>
                                <w:szCs w:val="18"/>
                              </w:rPr>
                              <w:t>请注意，以上知情同意书示例仅供参考，具体内容应根据实际情况进行调整和完善</w:t>
                            </w:r>
                            <w:r>
                              <w:rPr>
                                <w:rFonts w:hint="eastAsia" w:ascii="Calibri" w:hAnsi="Calibri" w:eastAsia="宋体" w:cs="Times New Roman"/>
                                <w:szCs w:val="21"/>
                              </w:rPr>
                              <w:t>。</w:t>
                            </w:r>
                          </w:p>
                        </w:txbxContent>
                      </wps:txbx>
                      <wps:bodyPr rot="0" vert="horz" wrap="square" lIns="91440" tIns="45720" rIns="91440" bIns="45720" anchor="t" anchorCtr="false">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55pt;margin-top:20.95pt;height:110.6pt;width:465.65pt;mso-wrap-distance-bottom:3.6pt;mso-wrap-distance-left:9pt;mso-wrap-distance-right:9pt;mso-wrap-distance-top:3.6pt;z-index:251666432;mso-width-relative:page;mso-height-relative:margin;mso-height-percent:200;" fillcolor="#FFFFFF" filled="t" stroked="t" coordsize="21600,21600" o:gfxdata="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BYA&#10;AABkcnMvUEsBAhQAFAAAAAgAh07iQFUgEyfWAAAACAEAAA8AAAAAAAAAAQAgAAAAOAAAAGRycy9k&#10;b3ducmV2LnhtbFBLAQIUABQAAAAIAIdO4kCJ2d5xJwIAADkEAAAOAAAAAAAAAAEAIAAAADsBAABk&#10;cnMvZTJvRG9jLnhtbFBLBQYAAAAABgAGAFkBAADUBQAAAAA=&#10;">
                <v:fill on="t" focussize="0,0"/>
                <v:stroke weight="1.5pt" color="#000000" miterlimit="8" joinstyle="miter"/>
                <v:imagedata o:title=""/>
                <o:lock v:ext="edit" aspectratio="f"/>
                <v:textbox style="mso-fit-shape-to-text:t;">
                  <w:txbxContent>
                    <w:p>
                      <w:pPr>
                        <w:widowControl/>
                        <w:autoSpaceDE w:val="0"/>
                        <w:autoSpaceDN w:val="0"/>
                        <w:jc w:val="center"/>
                        <w:rPr>
                          <w:rFonts w:ascii="宋体" w:hAnsi="Times New Roman" w:eastAsia="宋体" w:cs="Times New Roman"/>
                          <w:b/>
                          <w:kern w:val="0"/>
                          <w:sz w:val="18"/>
                          <w:szCs w:val="20"/>
                        </w:rPr>
                      </w:pPr>
                      <w:r>
                        <w:rPr>
                          <w:rFonts w:hint="eastAsia" w:ascii="宋体" w:hAnsi="Times New Roman" w:eastAsia="宋体" w:cs="Times New Roman"/>
                          <w:b/>
                          <w:kern w:val="0"/>
                          <w:sz w:val="18"/>
                          <w:szCs w:val="20"/>
                        </w:rPr>
                        <w:t>运动能力评估知情同意书</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一、信息告知</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1. 本评估旨在全面了解您的运动能力水平，包括力量、速度、耐力、柔韧性等方面。</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2. 评估过程中可能涉及多种测试项目，如俯卧撑、坐位体前屈、仰卧起坐、踏阶测试等。</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二、风险告知</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1. 评估过程中可能存在身体损伤的风险，如肌肉拉伤、关节扭伤等。</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2. 评估结果可能带来心理压力和焦虑。</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3. 对于已患有某些疾病的个体，评估可能会加重病情或引发不适。</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三、自愿选择</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本人已充分了解上述信息，并自愿选择参与运动能力评估。本人知晓自己的身体状况和能力，愿意承担由此带来的风险和责任。</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四、同意责任限制</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本人同意，在不涉及侵权行为的前提下，对于由于运动能力评估引发的任何损失或伤害，不会追究相关教练或评估机构的法律责任。</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五、有效期与撤销</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本知情同意书有效期为______。如本人有任何理由或需求，希望撤销参与运动能力评估的知情同意书，应及时书面通知相应的教练或评估机构。</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签字：__________</w:t>
                      </w:r>
                    </w:p>
                    <w:p>
                      <w:pPr>
                        <w:widowControl/>
                        <w:autoSpaceDE w:val="0"/>
                        <w:autoSpaceDN w:val="0"/>
                        <w:rPr>
                          <w:rFonts w:ascii="宋体" w:hAnsi="Times New Roman" w:eastAsia="宋体" w:cs="Times New Roman"/>
                          <w:kern w:val="0"/>
                          <w:sz w:val="18"/>
                          <w:szCs w:val="20"/>
                        </w:rPr>
                      </w:pPr>
                      <w:r>
                        <w:rPr>
                          <w:rFonts w:hint="eastAsia" w:ascii="宋体" w:hAnsi="Times New Roman" w:eastAsia="宋体" w:cs="Times New Roman"/>
                          <w:kern w:val="0"/>
                          <w:sz w:val="18"/>
                          <w:szCs w:val="20"/>
                        </w:rPr>
                        <w:t>日期：__________</w:t>
                      </w:r>
                    </w:p>
                    <w:p>
                      <w:r>
                        <w:rPr>
                          <w:rFonts w:hint="eastAsia" w:ascii="Calibri" w:hAnsi="Calibri" w:eastAsia="宋体" w:cs="Times New Roman"/>
                          <w:sz w:val="18"/>
                          <w:szCs w:val="18"/>
                        </w:rPr>
                        <w:t>请注意，以上知情同意书示例仅供参考，具体内容应根据实际情况进行调整和完善</w:t>
                      </w:r>
                      <w:r>
                        <w:rPr>
                          <w:rFonts w:hint="eastAsia" w:ascii="Calibri" w:hAnsi="Calibri" w:eastAsia="宋体" w:cs="Times New Roman"/>
                          <w:szCs w:val="21"/>
                        </w:rPr>
                        <w:t>。</w:t>
                      </w:r>
                    </w:p>
                  </w:txbxContent>
                </v:textbox>
                <w10:wrap type="square"/>
              </v:shape>
            </w:pict>
          </mc:Fallback>
        </mc:AlternateContent>
      </w:r>
      <w:r>
        <w:rPr>
          <w:rFonts w:hint="eastAsia" w:ascii="黑体" w:hAnsi="黑体" w:eastAsia="黑体" w:cs="黑体"/>
          <w:sz w:val="18"/>
          <w:szCs w:val="18"/>
        </w:rPr>
        <w:t>示例</w:t>
      </w:r>
      <w:r>
        <w:rPr>
          <w:rFonts w:hint="eastAsia"/>
          <w:sz w:val="21"/>
          <w:szCs w:val="21"/>
        </w:rPr>
        <w:t>：</w:t>
      </w:r>
    </w:p>
    <w:p>
      <w:pPr>
        <w:pStyle w:val="51"/>
      </w:pPr>
    </w:p>
    <w:p>
      <w:pPr>
        <w:pStyle w:val="67"/>
        <w:ind w:firstLineChars="0"/>
      </w:pPr>
      <w:r>
        <w:rPr>
          <w:rFonts w:ascii="黑体" w:hAnsi="黑体" w:eastAsia="黑体"/>
        </w:rPr>
        <mc:AlternateContent>
          <mc:Choice Requires="wps">
            <w:drawing>
              <wp:anchor distT="0" distB="0" distL="114300" distR="114300" simplePos="0" relativeHeight="251664384" behindDoc="0" locked="0" layoutInCell="1" allowOverlap="1">
                <wp:simplePos x="0" y="0"/>
                <wp:positionH relativeFrom="column">
                  <wp:posOffset>2066925</wp:posOffset>
                </wp:positionH>
                <wp:positionV relativeFrom="paragraph">
                  <wp:posOffset>91440</wp:posOffset>
                </wp:positionV>
                <wp:extent cx="1800225" cy="0"/>
                <wp:effectExtent l="0" t="0" r="28575" b="19050"/>
                <wp:wrapNone/>
                <wp:docPr id="25" name="直接箭头连接符 5"/>
                <wp:cNvGraphicFramePr/>
                <a:graphic xmlns:a="http://schemas.openxmlformats.org/drawingml/2006/main">
                  <a:graphicData uri="http://schemas.microsoft.com/office/word/2010/wordprocessingShape">
                    <wps:wsp>
                      <wps:cNvCnPr>
                        <a:cxnSpLocks noChangeShapeType="true"/>
                      </wps:cNvCnPr>
                      <wps:spPr bwMode="auto">
                        <a:xfrm>
                          <a:off x="0" y="0"/>
                          <a:ext cx="1800225" cy="0"/>
                        </a:xfrm>
                        <a:prstGeom prst="straightConnector1">
                          <a:avLst/>
                        </a:prstGeom>
                        <a:noFill/>
                        <a:ln w="9525">
                          <a:solidFill>
                            <a:srgbClr val="000000"/>
                          </a:solidFill>
                          <a:round/>
                        </a:ln>
                        <a:effectLst/>
                      </wps:spPr>
                      <wps:bodyPr/>
                    </wps:wsp>
                  </a:graphicData>
                </a:graphic>
              </wp:anchor>
            </w:drawing>
          </mc:Choice>
          <mc:Fallback>
            <w:pict>
              <v:shape id="直接箭头连接符 5" o:spid="_x0000_s1026" o:spt="32" type="#_x0000_t32" style="position:absolute;left:0pt;margin-left:162.75pt;margin-top:7.2pt;height:0pt;width:141.75pt;z-index:251664384;mso-width-relative:page;mso-height-relative:page;" filled="f" stroked="t" coordsize="21600,21600" o:gfxdata="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WAAAAZHJzL1BLAQIUABQAAAAI&#10;AIdO4kAyUI/B1wAAAAkBAAAPAAAAAAAAAAEAIAAAADgAAABkcnMvZG93bnJldi54bWxQSwECFAAU&#10;AAAACACHTuJAeVPo59wBAACCAwAADgAAAAAAAAABACAAAAA8AQAAZHJzL2Uyb0RvYy54bWxQSwUG&#10;AAAAAAYABgBZAQAAigUAAAAA&#10;">
                <v:fill on="f" focussize="0,0"/>
                <v:stroke color="#000000" joinstyle="round"/>
                <v:imagedata o:title=""/>
                <o:lock v:ext="edit" aspectratio="f"/>
              </v:shape>
            </w:pict>
          </mc:Fallback>
        </mc:AlternateContent>
      </w:r>
    </w:p>
    <w:p>
      <w:pPr>
        <w:tabs>
          <w:tab w:val="left" w:pos="6335"/>
        </w:tabs>
        <w:jc w:val="left"/>
        <w:rPr>
          <w:rFonts w:ascii="黑体" w:hAnsi="黑体" w:eastAsia="黑体" w:cs="黑体"/>
        </w:rPr>
      </w:pPr>
      <w:r>
        <w:rPr>
          <w:rFonts w:hint="eastAsia"/>
        </w:rPr>
        <w:tab/>
      </w:r>
    </w:p>
    <w:p>
      <w:pPr>
        <w:pStyle w:val="2"/>
        <w:jc w:val="left"/>
        <w:rPr>
          <w:rFonts w:ascii="黑体" w:hAnsi="黑体" w:eastAsia="黑体" w:cs="黑体"/>
          <w:sz w:val="18"/>
          <w:szCs w:val="18"/>
        </w:rPr>
      </w:pPr>
    </w:p>
    <w:sectPr>
      <w:pgSz w:w="11906" w:h="16838"/>
      <w:pgMar w:top="1417" w:right="1134" w:bottom="1134" w:left="1417" w:header="1417"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2000000" w:usb3="00000000" w:csb0="2000019F" w:csb1="00000000"/>
  </w:font>
  <w:font w:name="仿宋_GB2312">
    <w:panose1 w:val="02010609030101010101"/>
    <w:charset w:val="52"/>
    <w:family w:val="modern"/>
    <w:pitch w:val="default"/>
    <w:sig w:usb0="00000001" w:usb1="080E0000" w:usb2="00000000" w:usb3="00000000" w:csb0="00040000" w:csb1="00000000"/>
  </w:font>
  <w:font w:name="Verdana">
    <w:altName w:val="Ubuntu"/>
    <w:panose1 w:val="020B0604030504040204"/>
    <w:charset w:val="00"/>
    <w:family w:val="swiss"/>
    <w:pitch w:val="default"/>
    <w:sig w:usb0="00000000" w:usb1="00000000" w:usb2="00000010" w:usb3="00000000" w:csb0="2000019F" w:csb1="00000000"/>
  </w:font>
  <w:font w:name="方正小标宋_GBK">
    <w:panose1 w:val="02000000000000000000"/>
    <w:charset w:val="86"/>
    <w:family w:val="script"/>
    <w:pitch w:val="default"/>
    <w:sig w:usb0="00000001" w:usb1="08000000" w:usb2="00000000" w:usb3="00000000" w:csb0="00040000" w:csb1="00000000"/>
  </w:font>
  <w:font w:name="Dotum,Bold">
    <w:altName w:val="黑体"/>
    <w:panose1 w:val="00000000000000000000"/>
    <w:charset w:val="86"/>
    <w:family w:val="auto"/>
    <w:pitch w:val="default"/>
    <w:sig w:usb0="00000000" w:usb1="00000000" w:usb2="00000010" w:usb3="00000000" w:csb0="00040000" w:csb1="00000000"/>
  </w:font>
  <w:font w:name="SimSun,Bold">
    <w:altName w:val="黑体"/>
    <w:panose1 w:val="00000000000000000000"/>
    <w:charset w:val="86"/>
    <w:family w:val="auto"/>
    <w:pitch w:val="default"/>
    <w:sig w:usb0="00000000" w:usb1="00000000" w:usb2="00000010" w:usb3="00000000" w:csb0="00040000" w:csb1="00000000"/>
  </w:font>
  <w:font w:name="Segoe UI Symbol">
    <w:altName w:val="Noto Sans"/>
    <w:panose1 w:val="020B0502040204020203"/>
    <w:charset w:val="00"/>
    <w:family w:val="swiss"/>
    <w:pitch w:val="default"/>
    <w:sig w:usb0="00000000" w:usb1="00000000" w:usb2="00040000" w:usb3="04000000" w:csb0="00000001" w:csb1="4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FreeSerif">
    <w:panose1 w:val="02020603050405020304"/>
    <w:charset w:val="00"/>
    <w:family w:val="auto"/>
    <w:pitch w:val="default"/>
    <w:sig w:usb0="E59FAFFF" w:usb1="C200FDFF" w:usb2="43501B29" w:usb3="04000043" w:csb0="600101FF" w:csb1="FFFF0000"/>
  </w:font>
  <w:font w:name="Noto Sans">
    <w:panose1 w:val="020B0502040504020204"/>
    <w:charset w:val="00"/>
    <w:family w:val="auto"/>
    <w:pitch w:val="default"/>
    <w:sig w:usb0="E00002FF" w:usb1="00000000" w:usb2="00000000" w:usb3="00000000" w:csb0="2000019F" w:csb1="DFD70000"/>
  </w:font>
  <w:font w:name="方正宋体S-超大字符集(SIP)">
    <w:panose1 w:val="03000509000000000000"/>
    <w:charset w:val="86"/>
    <w:family w:val="auto"/>
    <w:pitch w:val="default"/>
    <w:sig w:usb0="00000003" w:usb1="0A0E0800" w:usb2="00000006" w:usb3="00000000" w:csb0="00040001" w:csb1="00000000"/>
  </w:font>
  <w:font w:name="Ubuntu">
    <w:panose1 w:val="020B0604030602030204"/>
    <w:charset w:val="00"/>
    <w:family w:val="auto"/>
    <w:pitch w:val="default"/>
    <w:sig w:usb0="E00002FF" w:usb1="5000205B" w:usb2="00000000" w:usb3="00000000" w:csb0="2000009F" w:csb1="56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asciiTheme="minorEastAsia" w:hAnsiTheme="minorEastAsia" w:cstheme="minorEastAsia"/>
                            </w:rPr>
                          </w:pPr>
                          <w:r>
                            <w:rPr>
                              <w:rFonts w:hint="eastAsia" w:asciiTheme="minorEastAsia" w:hAnsiTheme="minorEastAsia" w:cstheme="minorEastAsia"/>
                            </w:rPr>
                            <w:fldChar w:fldCharType="begin"/>
                          </w:r>
                          <w:r>
                            <w:rPr>
                              <w:rFonts w:hint="eastAsia" w:asciiTheme="minorEastAsia" w:hAnsiTheme="minorEastAsia" w:cstheme="minorEastAsia"/>
                            </w:rPr>
                            <w:instrText xml:space="preserve"> PAGE  \* MERGEFORMAT </w:instrText>
                          </w:r>
                          <w:r>
                            <w:rPr>
                              <w:rFonts w:hint="eastAsia" w:asciiTheme="minorEastAsia" w:hAnsiTheme="minorEastAsia" w:cstheme="minorEastAsia"/>
                            </w:rPr>
                            <w:fldChar w:fldCharType="separate"/>
                          </w:r>
                          <w:r>
                            <w:rPr>
                              <w:rFonts w:asciiTheme="minorEastAsia" w:hAnsiTheme="minorEastAsia" w:cstheme="minorEastAsia"/>
                            </w:rPr>
                            <w:t>I</w:t>
                          </w:r>
                          <w:r>
                            <w:rPr>
                              <w:rFonts w:hint="eastAsia" w:asciiTheme="minorEastAsia" w:hAnsiTheme="minorEastAsia" w:cs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13"/>
                      <w:rPr>
                        <w:rFonts w:asciiTheme="minorEastAsia" w:hAnsiTheme="minorEastAsia" w:cstheme="minorEastAsia"/>
                      </w:rPr>
                    </w:pPr>
                    <w:r>
                      <w:rPr>
                        <w:rFonts w:hint="eastAsia" w:asciiTheme="minorEastAsia" w:hAnsiTheme="minorEastAsia" w:cstheme="minorEastAsia"/>
                      </w:rPr>
                      <w:fldChar w:fldCharType="begin"/>
                    </w:r>
                    <w:r>
                      <w:rPr>
                        <w:rFonts w:hint="eastAsia" w:asciiTheme="minorEastAsia" w:hAnsiTheme="minorEastAsia" w:cstheme="minorEastAsia"/>
                      </w:rPr>
                      <w:instrText xml:space="preserve"> PAGE  \* MERGEFORMAT </w:instrText>
                    </w:r>
                    <w:r>
                      <w:rPr>
                        <w:rFonts w:hint="eastAsia" w:asciiTheme="minorEastAsia" w:hAnsiTheme="minorEastAsia" w:cstheme="minorEastAsia"/>
                      </w:rPr>
                      <w:fldChar w:fldCharType="separate"/>
                    </w:r>
                    <w:r>
                      <w:rPr>
                        <w:rFonts w:asciiTheme="minorEastAsia" w:hAnsiTheme="minorEastAsia" w:cstheme="minorEastAsia"/>
                      </w:rPr>
                      <w:t>I</w:t>
                    </w:r>
                    <w:r>
                      <w:rPr>
                        <w:rFonts w:hint="eastAsia" w:asciiTheme="minorEastAsia" w:hAnsiTheme="minorEastAsia" w:cstheme="minorEastAsia"/>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12</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A7fgaMUAgAAGwQAAA4AAAAAAAAAAQAgAAAANQEAAGRycy9lMm9Eb2MueG1sUEsFBgAAAAAGAAYA&#10;WQEAALsFAAAAAA==&#10;">
              <v:fill on="f" focussize="0,0"/>
              <v:stroke on="f" weight="0.5pt"/>
              <v:imagedata o:title=""/>
              <o:lock v:ext="edit" aspectratio="f"/>
              <v:textbox inset="0mm,0mm,0mm,0mm" style="mso-fit-shape-to-text:t;">
                <w:txbxContent>
                  <w:p>
                    <w:pPr>
                      <w:pStyle w:val="13"/>
                    </w:pP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12</w:t>
                    </w:r>
                    <w:r>
                      <w:rPr>
                        <w:rFonts w:asciiTheme="minorEastAsia" w:hAnsiTheme="minorEastAsi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7m8jFQIAABsEAAAOAAAAZHJz&#10;L2Uyb0RvYy54bWytU8uO0zAU3SPxD5b3NGkRQ1U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7m8jFQIAABsEAAAOAAAAAAAAAAEAIAAAADUBAABkcnMvZTJvRG9jLnhtbFBLBQYAAAAABgAG&#10;AFkBAAC8BQ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11</w:t>
                    </w:r>
                    <w:r>
                      <w:rPr>
                        <w:rFonts w:hint="eastAsia" w:ascii="宋体" w:hAnsi="宋体" w:eastAsia="宋体" w:cs="宋体"/>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12</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375LFQIAABsEAAAOAAAAZHJz&#10;L2Uyb0RvYy54bWytU8uO0zAU3SPxD5b3NGkRo1I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a375LFQIAABsEAAAOAAAAAAAAAAEAIAAAADUBAABkcnMvZTJvRG9jLnhtbFBLBQYAAAAABgAG&#10;AFkBAAC8BQAAAAA=&#10;">
              <v:fill on="f" focussize="0,0"/>
              <v:stroke on="f" weight="0.5pt"/>
              <v:imagedata o:title=""/>
              <o:lock v:ext="edit" aspectratio="f"/>
              <v:textbox inset="0mm,0mm,0mm,0mm" style="mso-fit-shape-to-text:t;">
                <w:txbxContent>
                  <w:p>
                    <w:pPr>
                      <w:pStyle w:val="13"/>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12</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05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A0Tqs0UAgAAGwQAAA4AAAAAAAAAAQAgAAAANQEAAGRycy9lMm9Eb2MueG1sUEsFBgAAAAAGAAYA&#10;WQEAALs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I</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vuix5FQIAABsEAAAOAAAAAAAAAAEAIAAAADUBAABkcnMvZTJvRG9jLnhtbFBLBQYAAAAABgAG&#10;AFkBAAC8BQAAAAA=&#10;">
              <v:fill on="f" focussize="0,0"/>
              <v:stroke on="f" weight="0.5pt"/>
              <v:imagedata o:title=""/>
              <o:lock v:ext="edit" aspectratio="f"/>
              <v:textbox inset="0mm,0mm,0mm,0mm" style="mso-fit-shape-to-text:t;">
                <w:txbxContent>
                  <w:p>
                    <w:pPr>
                      <w:pStyle w:val="13"/>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I</w:t>
                    </w:r>
                    <w:r>
                      <w:rPr>
                        <w:rFonts w:asciiTheme="minorEastAsia" w:hAnsiTheme="minor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mc:AlternateContent>
        <mc:Choice Requires="wps">
          <w:drawing>
            <wp:anchor distT="0" distB="0" distL="114300" distR="114300" simplePos="0" relativeHeight="251677696" behindDoc="0" locked="0" layoutInCell="1" allowOverlap="1">
              <wp:simplePos x="0" y="0"/>
              <wp:positionH relativeFrom="margin">
                <wp:align>right</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II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769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L8/hKFQIAABsEAAAOAAAAAAAAAAEAIAAAADUBAABkcnMvZTJvRG9jLnhtbFBLBQYAAAAABgAG&#10;AFkBAAC8BQ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II</w:t>
                    </w:r>
                    <w:r>
                      <w:rPr>
                        <w:rFonts w:hint="eastAsia" w:ascii="宋体" w:hAnsi="宋体" w:eastAsia="宋体" w:cs="宋体"/>
                      </w:rPr>
                      <w:fldChar w:fldCharType="end"/>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asciiTheme="minorEastAsia" w:hAnsiTheme="minorEastAsia" w:cstheme="minorEastAsia"/>
                            </w:rPr>
                          </w:pP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848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CruUMsUAgAAGwQAAA4AAAAAAAAAAQAgAAAANQEAAGRycy9lMm9Eb2MueG1sUEsFBgAAAAAGAAYA&#10;WQEAALsFAAAAAA==&#10;">
              <v:fill on="f" focussize="0,0"/>
              <v:stroke on="f" weight="0.5pt"/>
              <v:imagedata o:title=""/>
              <o:lock v:ext="edit" aspectratio="f"/>
              <v:textbox inset="0mm,0mm,0mm,0mm" style="mso-fit-shape-to-text:t;">
                <w:txbxContent>
                  <w:p>
                    <w:pPr>
                      <w:pStyle w:val="13"/>
                      <w:rPr>
                        <w:rFonts w:asciiTheme="minorEastAsia" w:hAnsiTheme="minorEastAsia" w:cstheme="minorEastAsia"/>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75648" behindDoc="0" locked="0" layoutInCell="1" allowOverlap="1">
              <wp:simplePos x="0" y="0"/>
              <wp:positionH relativeFrom="margin">
                <wp:align>right</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I</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564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qllWQFQIAABsEAAAOAAAAAAAAAAEAIAAAADUBAABkcnMvZTJvRG9jLnhtbFBLBQYAAAAABgAG&#10;AFkBAAC8BQAAAAA=&#10;">
              <v:fill on="f" focussize="0,0"/>
              <v:stroke on="f" weight="0.5pt"/>
              <v:imagedata o:title=""/>
              <o:lock v:ext="edit" aspectratio="f"/>
              <v:textbox inset="0mm,0mm,0mm,0mm" style="mso-fit-shape-to-text:t;">
                <w:txbxContent>
                  <w:p>
                    <w:pPr>
                      <w:pStyle w:val="13"/>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I</w:t>
                    </w:r>
                    <w:r>
                      <w:rPr>
                        <w:rFonts w:asciiTheme="minorEastAsia" w:hAnsiTheme="minor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mc:AlternateContent>
        <mc:Choice Requires="wps">
          <w:drawing>
            <wp:anchor distT="0" distB="0" distL="114300" distR="114300" simplePos="0" relativeHeight="251676672" behindDoc="0" locked="0" layoutInCell="1" allowOverlap="1">
              <wp:simplePos x="0" y="0"/>
              <wp:positionH relativeFrom="margin">
                <wp:align>right</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asciiTheme="minorEastAsia" w:hAnsiTheme="minorEastAsia" w:cstheme="minorEastAsia"/>
                            </w:rPr>
                          </w:pP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7667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BqnuxAUAgAAGwQAAA4AAAAAAAAAAQAgAAAANQEAAGRycy9lMm9Eb2MueG1sUEsFBgAAAAAGAAYA&#10;WQEAALsFAAAAAA==&#10;">
              <v:fill on="f" focussize="0,0"/>
              <v:stroke on="f" weight="0.5pt"/>
              <v:imagedata o:title=""/>
              <o:lock v:ext="edit" aspectratio="f"/>
              <v:textbox inset="0mm,0mm,0mm,0mm" style="mso-fit-shape-to-text:t;">
                <w:txbxContent>
                  <w:p>
                    <w:pPr>
                      <w:pStyle w:val="13"/>
                      <w:rPr>
                        <w:rFonts w:asciiTheme="minorEastAsia" w:hAnsiTheme="minorEastAsia" w:cstheme="minorEastAsia"/>
                      </w:rPr>
                    </w:pP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13</w:t>
                          </w:r>
                          <w:r>
                            <w:rPr>
                              <w:rFonts w:asciiTheme="minorEastAsia" w:hAnsiTheme="minor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fi8L5FQIAABsEAAAOAAAAAAAAAAEAIAAAADUBAABkcnMvZTJvRG9jLnhtbFBLBQYAAAAABgAG&#10;AFkBAAC8BQAAAAA=&#10;">
              <v:fill on="f" focussize="0,0"/>
              <v:stroke on="f" weight="0.5pt"/>
              <v:imagedata o:title=""/>
              <o:lock v:ext="edit" aspectratio="f"/>
              <v:textbox inset="0mm,0mm,0mm,0mm" style="mso-fit-shape-to-text:t;">
                <w:txbxContent>
                  <w:p>
                    <w:pPr>
                      <w:pStyle w:val="13"/>
                      <w:jc w:val="center"/>
                    </w:pPr>
                    <w:r>
                      <w:ptab w:relativeTo="margin" w:alignment="right" w:leader="none"/>
                    </w:r>
                    <w:r>
                      <w:rPr>
                        <w:rFonts w:asciiTheme="minorEastAsia" w:hAnsiTheme="minorEastAsia"/>
                      </w:rPr>
                      <w:fldChar w:fldCharType="begin"/>
                    </w:r>
                    <w:r>
                      <w:rPr>
                        <w:rFonts w:asciiTheme="minorEastAsia" w:hAnsiTheme="minorEastAsia"/>
                      </w:rPr>
                      <w:instrText xml:space="preserve"> PAGE   \* MERGEFORMAT </w:instrText>
                    </w:r>
                    <w:r>
                      <w:rPr>
                        <w:rFonts w:asciiTheme="minorEastAsia" w:hAnsiTheme="minorEastAsia"/>
                      </w:rPr>
                      <w:fldChar w:fldCharType="separate"/>
                    </w:r>
                    <w:r>
                      <w:rPr>
                        <w:rFonts w:asciiTheme="minorEastAsia" w:hAnsiTheme="minorEastAsia"/>
                        <w:lang w:val="zh-CN"/>
                      </w:rPr>
                      <w:t>13</w:t>
                    </w:r>
                    <w:r>
                      <w:rPr>
                        <w:rFonts w:asciiTheme="minorEastAsia" w:hAnsiTheme="minor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4"/>
        <w:rFonts w:ascii="黑体" w:hAnsi="黑体" w:eastAsia="黑体"/>
        <w:i w:val="0"/>
        <w:color w:val="808080" w:themeColor="text1" w:themeTint="80"/>
        <w14:textFill>
          <w14:solidFill>
            <w14:schemeClr w14:val="tx1">
              <w14:lumMod w14:val="50000"/>
              <w14:lumOff w14:val="50000"/>
            </w14:schemeClr>
          </w14:solidFill>
        </w14:textFill>
      </w:rPr>
    </w:pP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after="283"/>
      <w:jc w:val="right"/>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after="283"/>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ascii="黑体" w:hAnsi="黑体" w:eastAsia="黑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4"/>
        <w:rFonts w:ascii="黑体" w:hAnsi="黑体" w:eastAsia="黑体"/>
        <w:i w:val="0"/>
        <w:color w:val="808080" w:themeColor="text1" w:themeTint="80"/>
        <w14:textFill>
          <w14:solidFill>
            <w14:schemeClr w14:val="tx1">
              <w14:lumMod w14:val="50000"/>
              <w14:lumOff w14:val="50000"/>
            </w14:schemeClr>
          </w14:solidFill>
        </w14:textFill>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ascii="黑体" w:hAnsi="黑体" w:eastAsia="黑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ascii="黑体" w:hAnsi="黑体" w:eastAsia="黑体"/>
      </w:rPr>
    </w:pP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4"/>
        <w:rFonts w:ascii="黑体" w:hAnsi="黑体" w:eastAsia="黑体"/>
        <w:i w:val="0"/>
        <w:color w:val="808080" w:themeColor="text1" w:themeTint="80"/>
        <w14:textFill>
          <w14:solidFill>
            <w14:schemeClr w14:val="tx1">
              <w14:lumMod w14:val="50000"/>
              <w14:lumOff w14:val="50000"/>
            </w14:schemeClr>
          </w14:solidFill>
        </w14:textFill>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ascii="黑体" w:hAnsi="黑体" w:eastAsia="黑体"/>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adjustRightInd w:val="0"/>
      <w:snapToGrid w:val="0"/>
      <w:spacing w:after="283"/>
      <w:rPr>
        <w:rStyle w:val="34"/>
        <w:rFonts w:ascii="黑体" w:hAnsi="黑体" w:eastAsia="黑体"/>
        <w:i w:val="0"/>
        <w:color w:val="808080" w:themeColor="text1" w:themeTint="80"/>
        <w14:textFill>
          <w14:solidFill>
            <w14:schemeClr w14:val="tx1">
              <w14:lumMod w14:val="50000"/>
              <w14:lumOff w14:val="50000"/>
            </w14:schemeClr>
          </w14:solidFill>
        </w14:textFill>
      </w:rPr>
    </w:pPr>
    <w:r>
      <w:ptab w:relativeTo="margin" w:alignment="righ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rPr>
      <w:t>4</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snapToGrid w:val="0"/>
      <w:spacing w:after="283"/>
      <w:rPr>
        <w:rFonts w:ascii="黑体" w:hAnsi="黑体" w:eastAsia="黑体"/>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487D9A"/>
    <w:multiLevelType w:val="singleLevel"/>
    <w:tmpl w:val="CE487D9A"/>
    <w:lvl w:ilvl="0" w:tentative="0">
      <w:start w:val="1"/>
      <w:numFmt w:val="lowerLetter"/>
      <w:suff w:val="space"/>
      <w:lvlText w:val="%1）"/>
      <w:lvlJc w:val="left"/>
      <w:rPr>
        <w:rFonts w:hint="default" w:ascii="宋体" w:hAnsi="宋体" w:eastAsia="宋体" w:cs="宋体"/>
        <w:sz w:val="21"/>
        <w:szCs w:val="21"/>
      </w:rPr>
    </w:lvl>
  </w:abstractNum>
  <w:abstractNum w:abstractNumId="1">
    <w:nsid w:val="079102AD"/>
    <w:multiLevelType w:val="multilevel"/>
    <w:tmpl w:val="079102AD"/>
    <w:lvl w:ilvl="0" w:tentative="0">
      <w:start w:val="1"/>
      <w:numFmt w:val="decimal"/>
      <w:pStyle w:val="77"/>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7ED3FEA"/>
    <w:multiLevelType w:val="multilevel"/>
    <w:tmpl w:val="07ED3FEA"/>
    <w:lvl w:ilvl="0" w:tentative="0">
      <w:start w:val="1"/>
      <w:numFmt w:val="none"/>
      <w:pStyle w:val="4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15EF0C26"/>
    <w:multiLevelType w:val="multilevel"/>
    <w:tmpl w:val="15EF0C26"/>
    <w:lvl w:ilvl="0" w:tentative="0">
      <w:start w:val="1"/>
      <w:numFmt w:val="lowerLetter"/>
      <w:pStyle w:val="55"/>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4">
    <w:nsid w:val="1AF15012"/>
    <w:multiLevelType w:val="multilevel"/>
    <w:tmpl w:val="1AF15012"/>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6">
    <w:nsid w:val="1FC91163"/>
    <w:multiLevelType w:val="multilevel"/>
    <w:tmpl w:val="1FC91163"/>
    <w:lvl w:ilvl="0" w:tentative="0">
      <w:start w:val="1"/>
      <w:numFmt w:val="decimal"/>
      <w:pStyle w:val="5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5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C5917C3"/>
    <w:multiLevelType w:val="multilevel"/>
    <w:tmpl w:val="2C5917C3"/>
    <w:lvl w:ilvl="0" w:tentative="0">
      <w:start w:val="1"/>
      <w:numFmt w:val="none"/>
      <w:suff w:val="nothing"/>
      <w:lvlText w:val="%1——"/>
      <w:lvlJc w:val="left"/>
      <w:pPr>
        <w:ind w:left="833" w:hanging="408"/>
      </w:pPr>
      <w:rPr>
        <w:rFonts w:hint="default" w:ascii="黑体" w:hAnsi="黑体" w:eastAsia="黑体" w:cs="黑体"/>
        <w:lang w:val="en-US"/>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44C50F90"/>
    <w:multiLevelType w:val="multilevel"/>
    <w:tmpl w:val="44C50F90"/>
    <w:lvl w:ilvl="0" w:tentative="0">
      <w:start w:val="1"/>
      <w:numFmt w:val="lowerLetter"/>
      <w:pStyle w:val="88"/>
      <w:lvlText w:val="%1)"/>
      <w:lvlJc w:val="left"/>
      <w:pPr>
        <w:tabs>
          <w:tab w:val="left" w:pos="851"/>
        </w:tabs>
        <w:ind w:left="851" w:hanging="426"/>
      </w:pPr>
      <w:rPr>
        <w:rFonts w:hint="eastAsia" w:ascii="宋体" w:hAnsi="Times New Roman" w:eastAsia="宋体"/>
        <w:sz w:val="21"/>
      </w:rPr>
    </w:lvl>
    <w:lvl w:ilvl="1" w:tentative="0">
      <w:start w:val="1"/>
      <w:numFmt w:val="decimal"/>
      <w:pStyle w:val="82"/>
      <w:lvlText w:val="%2)"/>
      <w:lvlJc w:val="left"/>
      <w:pPr>
        <w:tabs>
          <w:tab w:val="left" w:pos="1276"/>
        </w:tabs>
        <w:ind w:left="1276" w:hanging="425"/>
      </w:pPr>
      <w:rPr>
        <w:rFonts w:hint="eastAsia" w:ascii="宋体" w:hAnsi="Times New Roman" w:eastAsia="宋体"/>
        <w:sz w:val="21"/>
      </w:rPr>
    </w:lvl>
    <w:lvl w:ilvl="2" w:tentative="0">
      <w:start w:val="1"/>
      <w:numFmt w:val="decimal"/>
      <w:pStyle w:val="8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7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538B4EED"/>
    <w:multiLevelType w:val="singleLevel"/>
    <w:tmpl w:val="538B4EED"/>
    <w:lvl w:ilvl="0" w:tentative="0">
      <w:start w:val="1"/>
      <w:numFmt w:val="lowerLetter"/>
      <w:suff w:val="space"/>
      <w:lvlText w:val="%1）"/>
      <w:lvlJc w:val="left"/>
      <w:rPr>
        <w:rFonts w:hint="default" w:ascii="宋体" w:hAnsi="宋体" w:eastAsia="宋体" w:cs="宋体"/>
        <w:sz w:val="21"/>
        <w:szCs w:val="21"/>
      </w:rPr>
    </w:lvl>
  </w:abstractNum>
  <w:abstractNum w:abstractNumId="11">
    <w:nsid w:val="646260FA"/>
    <w:multiLevelType w:val="multilevel"/>
    <w:tmpl w:val="646260FA"/>
    <w:lvl w:ilvl="0" w:tentative="0">
      <w:start w:val="1"/>
      <w:numFmt w:val="decimal"/>
      <w:pStyle w:val="6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657D3FBC"/>
    <w:multiLevelType w:val="multilevel"/>
    <w:tmpl w:val="657D3FBC"/>
    <w:lvl w:ilvl="0" w:tentative="0">
      <w:start w:val="1"/>
      <w:numFmt w:val="upperLetter"/>
      <w:pStyle w:val="59"/>
      <w:suff w:val="nothing"/>
      <w:lvlText w:val="附　录　%1"/>
      <w:lvlJc w:val="left"/>
      <w:pPr>
        <w:ind w:left="4410" w:firstLine="0"/>
      </w:pPr>
      <w:rPr>
        <w:rFonts w:hint="eastAsia" w:ascii="黑体" w:hAnsi="Times New Roman" w:eastAsia="黑体"/>
        <w:b w:val="0"/>
        <w:i w:val="0"/>
        <w:spacing w:val="0"/>
        <w:w w:val="100"/>
        <w:sz w:val="21"/>
      </w:rPr>
    </w:lvl>
    <w:lvl w:ilvl="1" w:tentative="0">
      <w:start w:val="1"/>
      <w:numFmt w:val="decimal"/>
      <w:pStyle w:val="73"/>
      <w:suff w:val="nothing"/>
      <w:lvlText w:val="%1.%2　"/>
      <w:lvlJc w:val="left"/>
      <w:pPr>
        <w:ind w:left="441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4410" w:firstLine="0"/>
      </w:pPr>
      <w:rPr>
        <w:rFonts w:hint="eastAsia" w:ascii="黑体" w:hAnsi="Times New Roman" w:eastAsia="黑体"/>
        <w:b w:val="0"/>
        <w:i w:val="0"/>
        <w:sz w:val="21"/>
      </w:rPr>
    </w:lvl>
    <w:lvl w:ilvl="3" w:tentative="0">
      <w:start w:val="1"/>
      <w:numFmt w:val="decimal"/>
      <w:suff w:val="nothing"/>
      <w:lvlText w:val="%1.%2.%3.%4　"/>
      <w:lvlJc w:val="left"/>
      <w:pPr>
        <w:ind w:left="4410" w:firstLine="0"/>
      </w:pPr>
      <w:rPr>
        <w:rFonts w:hint="eastAsia" w:ascii="黑体" w:hAnsi="Times New Roman" w:eastAsia="黑体"/>
        <w:b w:val="0"/>
        <w:i w:val="0"/>
        <w:sz w:val="21"/>
      </w:rPr>
    </w:lvl>
    <w:lvl w:ilvl="4" w:tentative="0">
      <w:start w:val="1"/>
      <w:numFmt w:val="decimal"/>
      <w:suff w:val="nothing"/>
      <w:lvlText w:val="%1.%2.%3.%4.%5　"/>
      <w:lvlJc w:val="left"/>
      <w:pPr>
        <w:ind w:left="4410" w:firstLine="0"/>
      </w:pPr>
      <w:rPr>
        <w:rFonts w:hint="eastAsia" w:ascii="黑体" w:hAnsi="Times New Roman" w:eastAsia="黑体"/>
        <w:b w:val="0"/>
        <w:i w:val="0"/>
        <w:sz w:val="21"/>
      </w:rPr>
    </w:lvl>
    <w:lvl w:ilvl="5" w:tentative="0">
      <w:start w:val="1"/>
      <w:numFmt w:val="decimal"/>
      <w:suff w:val="nothing"/>
      <w:lvlText w:val="%1.%2.%3.%4.%5.%6　"/>
      <w:lvlJc w:val="left"/>
      <w:pPr>
        <w:ind w:left="4410" w:firstLine="0"/>
      </w:pPr>
      <w:rPr>
        <w:rFonts w:hint="eastAsia" w:ascii="黑体" w:hAnsi="Times New Roman" w:eastAsia="黑体"/>
        <w:b w:val="0"/>
        <w:i w:val="0"/>
        <w:sz w:val="21"/>
      </w:rPr>
    </w:lvl>
    <w:lvl w:ilvl="6" w:tentative="0">
      <w:start w:val="1"/>
      <w:numFmt w:val="decimal"/>
      <w:suff w:val="nothing"/>
      <w:lvlText w:val="%1.%2.%3.%4.%5.%6.%7　"/>
      <w:lvlJc w:val="left"/>
      <w:pPr>
        <w:ind w:left="441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8804" w:hanging="1418"/>
      </w:pPr>
      <w:rPr>
        <w:rFonts w:hint="eastAsia"/>
      </w:rPr>
    </w:lvl>
    <w:lvl w:ilvl="8" w:tentative="0">
      <w:start w:val="1"/>
      <w:numFmt w:val="decimal"/>
      <w:lvlText w:val="%1.%2.%3.%4.%5.%6.%7.%8.%9"/>
      <w:lvlJc w:val="left"/>
      <w:pPr>
        <w:tabs>
          <w:tab w:val="left" w:pos="5102"/>
        </w:tabs>
        <w:ind w:left="9512" w:hanging="1700"/>
      </w:pPr>
      <w:rPr>
        <w:rFonts w:hint="eastAsia"/>
      </w:rPr>
    </w:lvl>
  </w:abstractNum>
  <w:abstractNum w:abstractNumId="1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66"/>
      <w:suff w:val="nothing"/>
      <w:lvlText w:val="%1%2　"/>
      <w:lvlJc w:val="left"/>
      <w:pPr>
        <w:ind w:left="0" w:firstLine="0"/>
      </w:pPr>
      <w:rPr>
        <w:rFonts w:hint="eastAsia" w:ascii="黑体" w:eastAsia="黑体"/>
        <w:b w:val="0"/>
        <w:i w:val="0"/>
        <w:sz w:val="21"/>
      </w:rPr>
    </w:lvl>
    <w:lvl w:ilvl="2" w:tentative="0">
      <w:start w:val="1"/>
      <w:numFmt w:val="decimal"/>
      <w:pStyle w:val="6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DBF04F4"/>
    <w:multiLevelType w:val="multilevel"/>
    <w:tmpl w:val="6DBF04F4"/>
    <w:lvl w:ilvl="0" w:tentative="0">
      <w:start w:val="1"/>
      <w:numFmt w:val="none"/>
      <w:pStyle w:val="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2"/>
  </w:num>
  <w:num w:numId="2">
    <w:abstractNumId w:val="6"/>
  </w:num>
  <w:num w:numId="3">
    <w:abstractNumId w:val="3"/>
  </w:num>
  <w:num w:numId="4">
    <w:abstractNumId w:val="7"/>
  </w:num>
  <w:num w:numId="5">
    <w:abstractNumId w:val="14"/>
  </w:num>
  <w:num w:numId="6">
    <w:abstractNumId w:val="12"/>
  </w:num>
  <w:num w:numId="7">
    <w:abstractNumId w:val="11"/>
  </w:num>
  <w:num w:numId="8">
    <w:abstractNumId w:val="13"/>
  </w:num>
  <w:num w:numId="9">
    <w:abstractNumId w:val="9"/>
  </w:num>
  <w:num w:numId="10">
    <w:abstractNumId w:val="1"/>
  </w:num>
  <w:num w:numId="11">
    <w:abstractNumId w:val="8"/>
  </w:num>
  <w:num w:numId="12">
    <w:abstractNumId w:val="4"/>
  </w:num>
  <w:num w:numId="13">
    <w:abstractNumId w:val="5"/>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mirrorMargins w:val="true"/>
  <w:bordersDoNotSurroundHeader w:val="true"/>
  <w:bordersDoNotSurroundFooter w:val="true"/>
  <w:documentProtection w:edit="trackedChanges" w:enforcement="0"/>
  <w:defaultTabStop w:val="420"/>
  <w:evenAndOddHeaders w:val="true"/>
  <w:drawingGridHorizontalSpacing w:val="105"/>
  <w:drawingGridVerticalSpacing w:val="156"/>
  <w:displayHorizontalDrawingGridEvery w:val="2"/>
  <w:displayVerticalDrawingGridEvery w:val="2"/>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xMDg2ZDVmODAxZDIyMjVlZjY0Zjk3MTNiYWIwMTcifQ=="/>
    <w:docVar w:name="KSO_WPS_MARK_KEY" w:val="52548aae-2002-4139-9182-7b8689647ee4"/>
  </w:docVars>
  <w:rsids>
    <w:rsidRoot w:val="002C4A7A"/>
    <w:rsid w:val="00000C6F"/>
    <w:rsid w:val="00002D7A"/>
    <w:rsid w:val="00005817"/>
    <w:rsid w:val="00013861"/>
    <w:rsid w:val="00013BD9"/>
    <w:rsid w:val="000173A8"/>
    <w:rsid w:val="0001746B"/>
    <w:rsid w:val="00031630"/>
    <w:rsid w:val="0003782B"/>
    <w:rsid w:val="000505F8"/>
    <w:rsid w:val="000511AD"/>
    <w:rsid w:val="0005686E"/>
    <w:rsid w:val="00056E11"/>
    <w:rsid w:val="0006343E"/>
    <w:rsid w:val="00065304"/>
    <w:rsid w:val="00071463"/>
    <w:rsid w:val="00074CE1"/>
    <w:rsid w:val="00075ADA"/>
    <w:rsid w:val="00081105"/>
    <w:rsid w:val="000814DC"/>
    <w:rsid w:val="0009093B"/>
    <w:rsid w:val="0009104A"/>
    <w:rsid w:val="00092A3E"/>
    <w:rsid w:val="000944B1"/>
    <w:rsid w:val="000946C9"/>
    <w:rsid w:val="0009741B"/>
    <w:rsid w:val="0009786B"/>
    <w:rsid w:val="000A05E2"/>
    <w:rsid w:val="000B1AD2"/>
    <w:rsid w:val="000B5222"/>
    <w:rsid w:val="000C1F9F"/>
    <w:rsid w:val="000D3EF6"/>
    <w:rsid w:val="000D5C84"/>
    <w:rsid w:val="000E084D"/>
    <w:rsid w:val="000E4AD1"/>
    <w:rsid w:val="000F170C"/>
    <w:rsid w:val="000F2CB4"/>
    <w:rsid w:val="001079B0"/>
    <w:rsid w:val="001103A2"/>
    <w:rsid w:val="00110D5E"/>
    <w:rsid w:val="00110EC6"/>
    <w:rsid w:val="00112AF7"/>
    <w:rsid w:val="00113409"/>
    <w:rsid w:val="001202C0"/>
    <w:rsid w:val="00120961"/>
    <w:rsid w:val="0012099B"/>
    <w:rsid w:val="00125415"/>
    <w:rsid w:val="00133094"/>
    <w:rsid w:val="00137FE8"/>
    <w:rsid w:val="0014534C"/>
    <w:rsid w:val="001462B7"/>
    <w:rsid w:val="00147278"/>
    <w:rsid w:val="00147564"/>
    <w:rsid w:val="00147A7E"/>
    <w:rsid w:val="00147F7E"/>
    <w:rsid w:val="001516E1"/>
    <w:rsid w:val="00155E5D"/>
    <w:rsid w:val="0015700F"/>
    <w:rsid w:val="0016095C"/>
    <w:rsid w:val="0016154E"/>
    <w:rsid w:val="001720FB"/>
    <w:rsid w:val="00173651"/>
    <w:rsid w:val="0017564C"/>
    <w:rsid w:val="00175A7C"/>
    <w:rsid w:val="001760F7"/>
    <w:rsid w:val="00176E61"/>
    <w:rsid w:val="00195C90"/>
    <w:rsid w:val="0019613E"/>
    <w:rsid w:val="001A06DC"/>
    <w:rsid w:val="001A1683"/>
    <w:rsid w:val="001A2848"/>
    <w:rsid w:val="001A2A72"/>
    <w:rsid w:val="001A2CD6"/>
    <w:rsid w:val="001B007D"/>
    <w:rsid w:val="001B01F2"/>
    <w:rsid w:val="001B0CF3"/>
    <w:rsid w:val="001B3AC1"/>
    <w:rsid w:val="001C0F5C"/>
    <w:rsid w:val="001C10DE"/>
    <w:rsid w:val="001C3415"/>
    <w:rsid w:val="001C4DED"/>
    <w:rsid w:val="001C7FB4"/>
    <w:rsid w:val="001D0910"/>
    <w:rsid w:val="001D2F2F"/>
    <w:rsid w:val="001D2F99"/>
    <w:rsid w:val="001D486C"/>
    <w:rsid w:val="001D48D0"/>
    <w:rsid w:val="001D6E1F"/>
    <w:rsid w:val="001D70CD"/>
    <w:rsid w:val="001E0871"/>
    <w:rsid w:val="001E3D11"/>
    <w:rsid w:val="001E4804"/>
    <w:rsid w:val="001E7BD6"/>
    <w:rsid w:val="001F47C8"/>
    <w:rsid w:val="002023F3"/>
    <w:rsid w:val="00211953"/>
    <w:rsid w:val="002209AC"/>
    <w:rsid w:val="00220A99"/>
    <w:rsid w:val="00221424"/>
    <w:rsid w:val="00222A27"/>
    <w:rsid w:val="00223A5B"/>
    <w:rsid w:val="00223BD4"/>
    <w:rsid w:val="00230CF6"/>
    <w:rsid w:val="00230F2F"/>
    <w:rsid w:val="00233685"/>
    <w:rsid w:val="00247720"/>
    <w:rsid w:val="00251127"/>
    <w:rsid w:val="00251537"/>
    <w:rsid w:val="00251550"/>
    <w:rsid w:val="002517ED"/>
    <w:rsid w:val="002559B9"/>
    <w:rsid w:val="00262444"/>
    <w:rsid w:val="00262A2E"/>
    <w:rsid w:val="00271A73"/>
    <w:rsid w:val="00276A28"/>
    <w:rsid w:val="002829F1"/>
    <w:rsid w:val="0028337F"/>
    <w:rsid w:val="00285357"/>
    <w:rsid w:val="00286986"/>
    <w:rsid w:val="00290F18"/>
    <w:rsid w:val="002914DD"/>
    <w:rsid w:val="00293BD3"/>
    <w:rsid w:val="002950A9"/>
    <w:rsid w:val="00296094"/>
    <w:rsid w:val="002A2A23"/>
    <w:rsid w:val="002A4731"/>
    <w:rsid w:val="002A4D51"/>
    <w:rsid w:val="002A5A01"/>
    <w:rsid w:val="002A5BCE"/>
    <w:rsid w:val="002B3E52"/>
    <w:rsid w:val="002B48F5"/>
    <w:rsid w:val="002B5800"/>
    <w:rsid w:val="002C253D"/>
    <w:rsid w:val="002C3A09"/>
    <w:rsid w:val="002C4A7A"/>
    <w:rsid w:val="002C57A0"/>
    <w:rsid w:val="002C639A"/>
    <w:rsid w:val="002D2351"/>
    <w:rsid w:val="002D38F3"/>
    <w:rsid w:val="002D49DC"/>
    <w:rsid w:val="002D54BC"/>
    <w:rsid w:val="002D566B"/>
    <w:rsid w:val="002E5B5C"/>
    <w:rsid w:val="002F2052"/>
    <w:rsid w:val="002F2C23"/>
    <w:rsid w:val="002F3CCA"/>
    <w:rsid w:val="002F7175"/>
    <w:rsid w:val="00301D6E"/>
    <w:rsid w:val="0030224A"/>
    <w:rsid w:val="00302D0D"/>
    <w:rsid w:val="00304C82"/>
    <w:rsid w:val="00311B67"/>
    <w:rsid w:val="0031322E"/>
    <w:rsid w:val="003160E4"/>
    <w:rsid w:val="00317DB9"/>
    <w:rsid w:val="00327834"/>
    <w:rsid w:val="00330DE3"/>
    <w:rsid w:val="0033333D"/>
    <w:rsid w:val="00334B35"/>
    <w:rsid w:val="00334DA4"/>
    <w:rsid w:val="00335ABA"/>
    <w:rsid w:val="00340030"/>
    <w:rsid w:val="00340CAC"/>
    <w:rsid w:val="003422C6"/>
    <w:rsid w:val="003438AA"/>
    <w:rsid w:val="00344E14"/>
    <w:rsid w:val="0034543B"/>
    <w:rsid w:val="00346C04"/>
    <w:rsid w:val="00354DAE"/>
    <w:rsid w:val="00355096"/>
    <w:rsid w:val="003568F1"/>
    <w:rsid w:val="00362FF0"/>
    <w:rsid w:val="003662BC"/>
    <w:rsid w:val="00366DB7"/>
    <w:rsid w:val="00367200"/>
    <w:rsid w:val="0037136A"/>
    <w:rsid w:val="003720DC"/>
    <w:rsid w:val="00375FCF"/>
    <w:rsid w:val="00380E6F"/>
    <w:rsid w:val="00387FF8"/>
    <w:rsid w:val="00393266"/>
    <w:rsid w:val="00394A3D"/>
    <w:rsid w:val="003A0DBB"/>
    <w:rsid w:val="003A238B"/>
    <w:rsid w:val="003A7D58"/>
    <w:rsid w:val="003B6878"/>
    <w:rsid w:val="003C0E5B"/>
    <w:rsid w:val="003C2C65"/>
    <w:rsid w:val="003C31B0"/>
    <w:rsid w:val="003D0151"/>
    <w:rsid w:val="003D13FA"/>
    <w:rsid w:val="003D1497"/>
    <w:rsid w:val="003D6815"/>
    <w:rsid w:val="003E0580"/>
    <w:rsid w:val="003E28CE"/>
    <w:rsid w:val="003F3353"/>
    <w:rsid w:val="003F714F"/>
    <w:rsid w:val="00407B9E"/>
    <w:rsid w:val="00417738"/>
    <w:rsid w:val="0042003E"/>
    <w:rsid w:val="004212D3"/>
    <w:rsid w:val="00422051"/>
    <w:rsid w:val="0042333A"/>
    <w:rsid w:val="00426BC8"/>
    <w:rsid w:val="00430DD2"/>
    <w:rsid w:val="004426FC"/>
    <w:rsid w:val="0044581A"/>
    <w:rsid w:val="004474F0"/>
    <w:rsid w:val="00451407"/>
    <w:rsid w:val="00451847"/>
    <w:rsid w:val="00454031"/>
    <w:rsid w:val="0045451F"/>
    <w:rsid w:val="004574AE"/>
    <w:rsid w:val="004610BF"/>
    <w:rsid w:val="00461B49"/>
    <w:rsid w:val="004631FC"/>
    <w:rsid w:val="00471508"/>
    <w:rsid w:val="004926A0"/>
    <w:rsid w:val="00495E4E"/>
    <w:rsid w:val="004A0644"/>
    <w:rsid w:val="004A132F"/>
    <w:rsid w:val="004A4085"/>
    <w:rsid w:val="004A6AB6"/>
    <w:rsid w:val="004B01AE"/>
    <w:rsid w:val="004B12F5"/>
    <w:rsid w:val="004B2D06"/>
    <w:rsid w:val="004B540D"/>
    <w:rsid w:val="004C2F70"/>
    <w:rsid w:val="004C5E71"/>
    <w:rsid w:val="004D09E4"/>
    <w:rsid w:val="004D424C"/>
    <w:rsid w:val="004D5B9A"/>
    <w:rsid w:val="004D6102"/>
    <w:rsid w:val="004E01DA"/>
    <w:rsid w:val="004E133F"/>
    <w:rsid w:val="004E3E2D"/>
    <w:rsid w:val="004E4186"/>
    <w:rsid w:val="004E4DE6"/>
    <w:rsid w:val="004F0C75"/>
    <w:rsid w:val="004F3DCC"/>
    <w:rsid w:val="004F5B3F"/>
    <w:rsid w:val="00506EF4"/>
    <w:rsid w:val="005102EF"/>
    <w:rsid w:val="00510EBE"/>
    <w:rsid w:val="005122CD"/>
    <w:rsid w:val="00520237"/>
    <w:rsid w:val="00523728"/>
    <w:rsid w:val="00524CE2"/>
    <w:rsid w:val="005278DB"/>
    <w:rsid w:val="0053086A"/>
    <w:rsid w:val="00531432"/>
    <w:rsid w:val="00534D92"/>
    <w:rsid w:val="00536AD1"/>
    <w:rsid w:val="00540818"/>
    <w:rsid w:val="00542910"/>
    <w:rsid w:val="0054628F"/>
    <w:rsid w:val="00546657"/>
    <w:rsid w:val="00553FC3"/>
    <w:rsid w:val="00554600"/>
    <w:rsid w:val="0055478B"/>
    <w:rsid w:val="005606B4"/>
    <w:rsid w:val="0056106C"/>
    <w:rsid w:val="00563D0F"/>
    <w:rsid w:val="005701EA"/>
    <w:rsid w:val="00575480"/>
    <w:rsid w:val="00591331"/>
    <w:rsid w:val="005928C2"/>
    <w:rsid w:val="00596070"/>
    <w:rsid w:val="005A2C7F"/>
    <w:rsid w:val="005A4975"/>
    <w:rsid w:val="005A60AC"/>
    <w:rsid w:val="005A6936"/>
    <w:rsid w:val="005B2D37"/>
    <w:rsid w:val="005B455D"/>
    <w:rsid w:val="005B6D29"/>
    <w:rsid w:val="005C370B"/>
    <w:rsid w:val="005E015F"/>
    <w:rsid w:val="005E1CA7"/>
    <w:rsid w:val="005F2DCC"/>
    <w:rsid w:val="005F5CFF"/>
    <w:rsid w:val="00600F7C"/>
    <w:rsid w:val="006045C0"/>
    <w:rsid w:val="00610AF4"/>
    <w:rsid w:val="00613357"/>
    <w:rsid w:val="00616AFA"/>
    <w:rsid w:val="00621AD2"/>
    <w:rsid w:val="00626507"/>
    <w:rsid w:val="0062656D"/>
    <w:rsid w:val="00633884"/>
    <w:rsid w:val="00635FE2"/>
    <w:rsid w:val="00637850"/>
    <w:rsid w:val="00640CD9"/>
    <w:rsid w:val="00646C9D"/>
    <w:rsid w:val="006476F3"/>
    <w:rsid w:val="0065660B"/>
    <w:rsid w:val="00662568"/>
    <w:rsid w:val="00663149"/>
    <w:rsid w:val="006738FB"/>
    <w:rsid w:val="00673C24"/>
    <w:rsid w:val="006763FD"/>
    <w:rsid w:val="006839CD"/>
    <w:rsid w:val="006867E4"/>
    <w:rsid w:val="00686AB4"/>
    <w:rsid w:val="00687FF9"/>
    <w:rsid w:val="00692471"/>
    <w:rsid w:val="00694817"/>
    <w:rsid w:val="00695FD6"/>
    <w:rsid w:val="006965B2"/>
    <w:rsid w:val="00697323"/>
    <w:rsid w:val="006A3A00"/>
    <w:rsid w:val="006A587D"/>
    <w:rsid w:val="006B00F8"/>
    <w:rsid w:val="006B0EDD"/>
    <w:rsid w:val="006B4E4A"/>
    <w:rsid w:val="006D1713"/>
    <w:rsid w:val="006D3593"/>
    <w:rsid w:val="006D384B"/>
    <w:rsid w:val="006D7F23"/>
    <w:rsid w:val="006E0D51"/>
    <w:rsid w:val="006E42DF"/>
    <w:rsid w:val="006E6B90"/>
    <w:rsid w:val="00705B6D"/>
    <w:rsid w:val="0070744F"/>
    <w:rsid w:val="007078CB"/>
    <w:rsid w:val="0071113E"/>
    <w:rsid w:val="00711444"/>
    <w:rsid w:val="00716D47"/>
    <w:rsid w:val="00717C25"/>
    <w:rsid w:val="00720335"/>
    <w:rsid w:val="00721D42"/>
    <w:rsid w:val="00723CE8"/>
    <w:rsid w:val="00724CC3"/>
    <w:rsid w:val="00732CFF"/>
    <w:rsid w:val="00732DD3"/>
    <w:rsid w:val="00733FAB"/>
    <w:rsid w:val="00734A6B"/>
    <w:rsid w:val="00736BCB"/>
    <w:rsid w:val="007373F7"/>
    <w:rsid w:val="007404DC"/>
    <w:rsid w:val="0074159C"/>
    <w:rsid w:val="0074173E"/>
    <w:rsid w:val="00741CBE"/>
    <w:rsid w:val="00743636"/>
    <w:rsid w:val="0075115F"/>
    <w:rsid w:val="00751B91"/>
    <w:rsid w:val="00754A67"/>
    <w:rsid w:val="0075655E"/>
    <w:rsid w:val="007569D0"/>
    <w:rsid w:val="00762676"/>
    <w:rsid w:val="007667E9"/>
    <w:rsid w:val="007747B0"/>
    <w:rsid w:val="00775703"/>
    <w:rsid w:val="0077630C"/>
    <w:rsid w:val="00776D8F"/>
    <w:rsid w:val="00777F91"/>
    <w:rsid w:val="00784961"/>
    <w:rsid w:val="007906E7"/>
    <w:rsid w:val="00790CFC"/>
    <w:rsid w:val="007925EE"/>
    <w:rsid w:val="00793C9B"/>
    <w:rsid w:val="007944B5"/>
    <w:rsid w:val="00794E64"/>
    <w:rsid w:val="007A262B"/>
    <w:rsid w:val="007A325E"/>
    <w:rsid w:val="007B3805"/>
    <w:rsid w:val="007B71FE"/>
    <w:rsid w:val="007B7740"/>
    <w:rsid w:val="007C5205"/>
    <w:rsid w:val="007C6FAF"/>
    <w:rsid w:val="007C72D7"/>
    <w:rsid w:val="007D209B"/>
    <w:rsid w:val="007D6D20"/>
    <w:rsid w:val="007D77B7"/>
    <w:rsid w:val="007E1F24"/>
    <w:rsid w:val="007E451F"/>
    <w:rsid w:val="007F0AD4"/>
    <w:rsid w:val="007F0CE2"/>
    <w:rsid w:val="007F2302"/>
    <w:rsid w:val="007F3D33"/>
    <w:rsid w:val="007F7E53"/>
    <w:rsid w:val="008029D3"/>
    <w:rsid w:val="008034D8"/>
    <w:rsid w:val="00803B33"/>
    <w:rsid w:val="0080474D"/>
    <w:rsid w:val="00804961"/>
    <w:rsid w:val="008062A9"/>
    <w:rsid w:val="0081659D"/>
    <w:rsid w:val="008204BD"/>
    <w:rsid w:val="00820C60"/>
    <w:rsid w:val="00822BEB"/>
    <w:rsid w:val="008237E6"/>
    <w:rsid w:val="00823FD0"/>
    <w:rsid w:val="008338C4"/>
    <w:rsid w:val="00842185"/>
    <w:rsid w:val="008423AD"/>
    <w:rsid w:val="00844C83"/>
    <w:rsid w:val="00844F09"/>
    <w:rsid w:val="0084707B"/>
    <w:rsid w:val="0085002F"/>
    <w:rsid w:val="0085316A"/>
    <w:rsid w:val="008570AF"/>
    <w:rsid w:val="008601C4"/>
    <w:rsid w:val="0086279F"/>
    <w:rsid w:val="00864F8B"/>
    <w:rsid w:val="00866D54"/>
    <w:rsid w:val="00867DB6"/>
    <w:rsid w:val="0087171A"/>
    <w:rsid w:val="00871E5F"/>
    <w:rsid w:val="00874360"/>
    <w:rsid w:val="00874E16"/>
    <w:rsid w:val="008778D8"/>
    <w:rsid w:val="008808C0"/>
    <w:rsid w:val="008823C4"/>
    <w:rsid w:val="00885586"/>
    <w:rsid w:val="00886D2A"/>
    <w:rsid w:val="00892FE8"/>
    <w:rsid w:val="008A4606"/>
    <w:rsid w:val="008A525F"/>
    <w:rsid w:val="008A778B"/>
    <w:rsid w:val="008A7A04"/>
    <w:rsid w:val="008B2AA1"/>
    <w:rsid w:val="008B4744"/>
    <w:rsid w:val="008B4CD3"/>
    <w:rsid w:val="008B5A87"/>
    <w:rsid w:val="008C1198"/>
    <w:rsid w:val="008C23EA"/>
    <w:rsid w:val="008C6DE2"/>
    <w:rsid w:val="008C754A"/>
    <w:rsid w:val="008D32D9"/>
    <w:rsid w:val="008D50F3"/>
    <w:rsid w:val="008D6AC9"/>
    <w:rsid w:val="008E1D3D"/>
    <w:rsid w:val="008E73CE"/>
    <w:rsid w:val="008F7846"/>
    <w:rsid w:val="00900625"/>
    <w:rsid w:val="00900D6C"/>
    <w:rsid w:val="00902C03"/>
    <w:rsid w:val="009056B3"/>
    <w:rsid w:val="00905EC8"/>
    <w:rsid w:val="009068F3"/>
    <w:rsid w:val="00906EE2"/>
    <w:rsid w:val="00912AA0"/>
    <w:rsid w:val="00914E1E"/>
    <w:rsid w:val="0092183B"/>
    <w:rsid w:val="00922FAC"/>
    <w:rsid w:val="009304BF"/>
    <w:rsid w:val="00932FD3"/>
    <w:rsid w:val="00941A12"/>
    <w:rsid w:val="00941B18"/>
    <w:rsid w:val="009449CC"/>
    <w:rsid w:val="00945592"/>
    <w:rsid w:val="00952AAD"/>
    <w:rsid w:val="00953360"/>
    <w:rsid w:val="009534B7"/>
    <w:rsid w:val="0095703E"/>
    <w:rsid w:val="0096181B"/>
    <w:rsid w:val="00961EC7"/>
    <w:rsid w:val="00965072"/>
    <w:rsid w:val="00970C6E"/>
    <w:rsid w:val="00975728"/>
    <w:rsid w:val="00992159"/>
    <w:rsid w:val="0099488E"/>
    <w:rsid w:val="009956AD"/>
    <w:rsid w:val="00996CA4"/>
    <w:rsid w:val="009A18CB"/>
    <w:rsid w:val="009A67D7"/>
    <w:rsid w:val="009A7D1D"/>
    <w:rsid w:val="009B2735"/>
    <w:rsid w:val="009B5AFA"/>
    <w:rsid w:val="009B6DC7"/>
    <w:rsid w:val="009B7156"/>
    <w:rsid w:val="009C15D7"/>
    <w:rsid w:val="009C335C"/>
    <w:rsid w:val="009C71D1"/>
    <w:rsid w:val="009C7247"/>
    <w:rsid w:val="009D11D8"/>
    <w:rsid w:val="009D27A6"/>
    <w:rsid w:val="009D5852"/>
    <w:rsid w:val="009D7E50"/>
    <w:rsid w:val="009E229D"/>
    <w:rsid w:val="009E4501"/>
    <w:rsid w:val="009F022A"/>
    <w:rsid w:val="009F25EB"/>
    <w:rsid w:val="009F4144"/>
    <w:rsid w:val="009F655E"/>
    <w:rsid w:val="009F7F08"/>
    <w:rsid w:val="00A0144F"/>
    <w:rsid w:val="00A0565D"/>
    <w:rsid w:val="00A0685D"/>
    <w:rsid w:val="00A06B8F"/>
    <w:rsid w:val="00A129D5"/>
    <w:rsid w:val="00A15867"/>
    <w:rsid w:val="00A25BFF"/>
    <w:rsid w:val="00A26884"/>
    <w:rsid w:val="00A27283"/>
    <w:rsid w:val="00A2795C"/>
    <w:rsid w:val="00A31209"/>
    <w:rsid w:val="00A32E92"/>
    <w:rsid w:val="00A35EAE"/>
    <w:rsid w:val="00A415A9"/>
    <w:rsid w:val="00A421AD"/>
    <w:rsid w:val="00A42B1B"/>
    <w:rsid w:val="00A516F3"/>
    <w:rsid w:val="00A52074"/>
    <w:rsid w:val="00A529AD"/>
    <w:rsid w:val="00A561C6"/>
    <w:rsid w:val="00A62CE9"/>
    <w:rsid w:val="00A634E6"/>
    <w:rsid w:val="00A66329"/>
    <w:rsid w:val="00A7056C"/>
    <w:rsid w:val="00A713B5"/>
    <w:rsid w:val="00A72B72"/>
    <w:rsid w:val="00A73768"/>
    <w:rsid w:val="00A77BA9"/>
    <w:rsid w:val="00A87B13"/>
    <w:rsid w:val="00A92BF9"/>
    <w:rsid w:val="00A9458A"/>
    <w:rsid w:val="00A96125"/>
    <w:rsid w:val="00AA038D"/>
    <w:rsid w:val="00AA0DC4"/>
    <w:rsid w:val="00AA377C"/>
    <w:rsid w:val="00AA425D"/>
    <w:rsid w:val="00AA603E"/>
    <w:rsid w:val="00AB02B2"/>
    <w:rsid w:val="00AB2CAF"/>
    <w:rsid w:val="00AB5D89"/>
    <w:rsid w:val="00AB64F6"/>
    <w:rsid w:val="00AC4525"/>
    <w:rsid w:val="00AC56A5"/>
    <w:rsid w:val="00AD00A8"/>
    <w:rsid w:val="00AD428E"/>
    <w:rsid w:val="00AD7038"/>
    <w:rsid w:val="00AD74A7"/>
    <w:rsid w:val="00AE49BE"/>
    <w:rsid w:val="00AE55AC"/>
    <w:rsid w:val="00AE5F8A"/>
    <w:rsid w:val="00AF53DB"/>
    <w:rsid w:val="00AF7AFE"/>
    <w:rsid w:val="00B01237"/>
    <w:rsid w:val="00B02086"/>
    <w:rsid w:val="00B06017"/>
    <w:rsid w:val="00B10919"/>
    <w:rsid w:val="00B1286A"/>
    <w:rsid w:val="00B1318E"/>
    <w:rsid w:val="00B13930"/>
    <w:rsid w:val="00B17747"/>
    <w:rsid w:val="00B21CF9"/>
    <w:rsid w:val="00B309C2"/>
    <w:rsid w:val="00B319F3"/>
    <w:rsid w:val="00B333A5"/>
    <w:rsid w:val="00B33754"/>
    <w:rsid w:val="00B36BE0"/>
    <w:rsid w:val="00B37391"/>
    <w:rsid w:val="00B42D11"/>
    <w:rsid w:val="00B42FF5"/>
    <w:rsid w:val="00B450A3"/>
    <w:rsid w:val="00B56BD0"/>
    <w:rsid w:val="00B61230"/>
    <w:rsid w:val="00B61250"/>
    <w:rsid w:val="00B618E8"/>
    <w:rsid w:val="00B634DB"/>
    <w:rsid w:val="00B64FF7"/>
    <w:rsid w:val="00B66014"/>
    <w:rsid w:val="00B759FB"/>
    <w:rsid w:val="00B76F4B"/>
    <w:rsid w:val="00B82B3B"/>
    <w:rsid w:val="00B857D0"/>
    <w:rsid w:val="00B97265"/>
    <w:rsid w:val="00BA36F5"/>
    <w:rsid w:val="00BA4CDD"/>
    <w:rsid w:val="00BA70BA"/>
    <w:rsid w:val="00BA7E3E"/>
    <w:rsid w:val="00BB0517"/>
    <w:rsid w:val="00BC1CCB"/>
    <w:rsid w:val="00BC34A7"/>
    <w:rsid w:val="00BC6585"/>
    <w:rsid w:val="00BC76F2"/>
    <w:rsid w:val="00BD3F71"/>
    <w:rsid w:val="00BD44B5"/>
    <w:rsid w:val="00BD622F"/>
    <w:rsid w:val="00BE3C8C"/>
    <w:rsid w:val="00BE537A"/>
    <w:rsid w:val="00BE6581"/>
    <w:rsid w:val="00BF4AEF"/>
    <w:rsid w:val="00C01A6C"/>
    <w:rsid w:val="00C042FA"/>
    <w:rsid w:val="00C100EE"/>
    <w:rsid w:val="00C1161C"/>
    <w:rsid w:val="00C11942"/>
    <w:rsid w:val="00C16AD7"/>
    <w:rsid w:val="00C20320"/>
    <w:rsid w:val="00C2384C"/>
    <w:rsid w:val="00C245B1"/>
    <w:rsid w:val="00C27A7C"/>
    <w:rsid w:val="00C30043"/>
    <w:rsid w:val="00C33755"/>
    <w:rsid w:val="00C34933"/>
    <w:rsid w:val="00C40C1D"/>
    <w:rsid w:val="00C40E79"/>
    <w:rsid w:val="00C4166D"/>
    <w:rsid w:val="00C42E3C"/>
    <w:rsid w:val="00C45C14"/>
    <w:rsid w:val="00C462F3"/>
    <w:rsid w:val="00C46ADD"/>
    <w:rsid w:val="00C477F2"/>
    <w:rsid w:val="00C47CFD"/>
    <w:rsid w:val="00C50974"/>
    <w:rsid w:val="00C51190"/>
    <w:rsid w:val="00C624AE"/>
    <w:rsid w:val="00C657CE"/>
    <w:rsid w:val="00C65B45"/>
    <w:rsid w:val="00C672AB"/>
    <w:rsid w:val="00C67BC0"/>
    <w:rsid w:val="00C7008A"/>
    <w:rsid w:val="00C72B93"/>
    <w:rsid w:val="00C7460A"/>
    <w:rsid w:val="00C74798"/>
    <w:rsid w:val="00C774B2"/>
    <w:rsid w:val="00C8207E"/>
    <w:rsid w:val="00C83947"/>
    <w:rsid w:val="00C84D5C"/>
    <w:rsid w:val="00C87827"/>
    <w:rsid w:val="00C91A53"/>
    <w:rsid w:val="00C93A0F"/>
    <w:rsid w:val="00C93CF3"/>
    <w:rsid w:val="00CA2979"/>
    <w:rsid w:val="00CA3ECD"/>
    <w:rsid w:val="00CA4390"/>
    <w:rsid w:val="00CA5E90"/>
    <w:rsid w:val="00CA6368"/>
    <w:rsid w:val="00CA7996"/>
    <w:rsid w:val="00CB084A"/>
    <w:rsid w:val="00CB251A"/>
    <w:rsid w:val="00CB69C0"/>
    <w:rsid w:val="00CB6A26"/>
    <w:rsid w:val="00CC212B"/>
    <w:rsid w:val="00CD2F9B"/>
    <w:rsid w:val="00CE0575"/>
    <w:rsid w:val="00CE1209"/>
    <w:rsid w:val="00CE1FFB"/>
    <w:rsid w:val="00CE274E"/>
    <w:rsid w:val="00CE5A6D"/>
    <w:rsid w:val="00CF2291"/>
    <w:rsid w:val="00D069E0"/>
    <w:rsid w:val="00D137EA"/>
    <w:rsid w:val="00D1635A"/>
    <w:rsid w:val="00D169F2"/>
    <w:rsid w:val="00D20D83"/>
    <w:rsid w:val="00D2420F"/>
    <w:rsid w:val="00D256C0"/>
    <w:rsid w:val="00D32A80"/>
    <w:rsid w:val="00D37C42"/>
    <w:rsid w:val="00D403C5"/>
    <w:rsid w:val="00D4585F"/>
    <w:rsid w:val="00D47CAE"/>
    <w:rsid w:val="00D50747"/>
    <w:rsid w:val="00D50BA3"/>
    <w:rsid w:val="00D53255"/>
    <w:rsid w:val="00D6138F"/>
    <w:rsid w:val="00D624B9"/>
    <w:rsid w:val="00D6371B"/>
    <w:rsid w:val="00D642F5"/>
    <w:rsid w:val="00D7138D"/>
    <w:rsid w:val="00D7526C"/>
    <w:rsid w:val="00D77234"/>
    <w:rsid w:val="00D80501"/>
    <w:rsid w:val="00D81394"/>
    <w:rsid w:val="00D85470"/>
    <w:rsid w:val="00D86D72"/>
    <w:rsid w:val="00D90D54"/>
    <w:rsid w:val="00D914B1"/>
    <w:rsid w:val="00D91668"/>
    <w:rsid w:val="00D965AB"/>
    <w:rsid w:val="00D965BD"/>
    <w:rsid w:val="00DA7326"/>
    <w:rsid w:val="00DB3696"/>
    <w:rsid w:val="00DC11B3"/>
    <w:rsid w:val="00DC418F"/>
    <w:rsid w:val="00DD1289"/>
    <w:rsid w:val="00DD4EC4"/>
    <w:rsid w:val="00DD5468"/>
    <w:rsid w:val="00DD5D4C"/>
    <w:rsid w:val="00DD6F40"/>
    <w:rsid w:val="00DE023B"/>
    <w:rsid w:val="00DE201D"/>
    <w:rsid w:val="00DF1EBF"/>
    <w:rsid w:val="00DF29FB"/>
    <w:rsid w:val="00DF3B2F"/>
    <w:rsid w:val="00DF48F2"/>
    <w:rsid w:val="00DF4BB1"/>
    <w:rsid w:val="00E0028F"/>
    <w:rsid w:val="00E0383F"/>
    <w:rsid w:val="00E03A13"/>
    <w:rsid w:val="00E03C54"/>
    <w:rsid w:val="00E0525C"/>
    <w:rsid w:val="00E1059E"/>
    <w:rsid w:val="00E120F0"/>
    <w:rsid w:val="00E12885"/>
    <w:rsid w:val="00E14F1D"/>
    <w:rsid w:val="00E20A7B"/>
    <w:rsid w:val="00E22829"/>
    <w:rsid w:val="00E3004D"/>
    <w:rsid w:val="00E31B6C"/>
    <w:rsid w:val="00E3509B"/>
    <w:rsid w:val="00E3537D"/>
    <w:rsid w:val="00E36C78"/>
    <w:rsid w:val="00E401C4"/>
    <w:rsid w:val="00E42F0F"/>
    <w:rsid w:val="00E430DF"/>
    <w:rsid w:val="00E45044"/>
    <w:rsid w:val="00E504BD"/>
    <w:rsid w:val="00E537D1"/>
    <w:rsid w:val="00E55655"/>
    <w:rsid w:val="00E621A8"/>
    <w:rsid w:val="00E72AA8"/>
    <w:rsid w:val="00E72BBB"/>
    <w:rsid w:val="00E77E77"/>
    <w:rsid w:val="00E81B66"/>
    <w:rsid w:val="00E82311"/>
    <w:rsid w:val="00E8389F"/>
    <w:rsid w:val="00E838A4"/>
    <w:rsid w:val="00E84983"/>
    <w:rsid w:val="00E90FDD"/>
    <w:rsid w:val="00E91C59"/>
    <w:rsid w:val="00E96805"/>
    <w:rsid w:val="00EA115D"/>
    <w:rsid w:val="00EB1109"/>
    <w:rsid w:val="00EB2C29"/>
    <w:rsid w:val="00EB2DBC"/>
    <w:rsid w:val="00EB3505"/>
    <w:rsid w:val="00EB3E6D"/>
    <w:rsid w:val="00EB474D"/>
    <w:rsid w:val="00EB5D5A"/>
    <w:rsid w:val="00EB6A2C"/>
    <w:rsid w:val="00EB70F1"/>
    <w:rsid w:val="00EC1078"/>
    <w:rsid w:val="00EC652F"/>
    <w:rsid w:val="00EC6E3E"/>
    <w:rsid w:val="00ED1A85"/>
    <w:rsid w:val="00ED3E70"/>
    <w:rsid w:val="00ED4091"/>
    <w:rsid w:val="00ED5E11"/>
    <w:rsid w:val="00EE07BC"/>
    <w:rsid w:val="00EE2AFA"/>
    <w:rsid w:val="00EE4615"/>
    <w:rsid w:val="00EE4642"/>
    <w:rsid w:val="00EF0721"/>
    <w:rsid w:val="00EF182F"/>
    <w:rsid w:val="00EF20A1"/>
    <w:rsid w:val="00F015C2"/>
    <w:rsid w:val="00F12CCA"/>
    <w:rsid w:val="00F156A5"/>
    <w:rsid w:val="00F16A12"/>
    <w:rsid w:val="00F16BA1"/>
    <w:rsid w:val="00F200FB"/>
    <w:rsid w:val="00F233DA"/>
    <w:rsid w:val="00F26471"/>
    <w:rsid w:val="00F31218"/>
    <w:rsid w:val="00F341AE"/>
    <w:rsid w:val="00F435EB"/>
    <w:rsid w:val="00F535DE"/>
    <w:rsid w:val="00F55043"/>
    <w:rsid w:val="00F57198"/>
    <w:rsid w:val="00F61B81"/>
    <w:rsid w:val="00F63CB5"/>
    <w:rsid w:val="00F65D80"/>
    <w:rsid w:val="00F7039A"/>
    <w:rsid w:val="00F71261"/>
    <w:rsid w:val="00F74A9C"/>
    <w:rsid w:val="00F770EC"/>
    <w:rsid w:val="00F7776A"/>
    <w:rsid w:val="00F86029"/>
    <w:rsid w:val="00F87873"/>
    <w:rsid w:val="00F936A8"/>
    <w:rsid w:val="00F9473B"/>
    <w:rsid w:val="00F95647"/>
    <w:rsid w:val="00FA1F56"/>
    <w:rsid w:val="00FA61F5"/>
    <w:rsid w:val="00FA7729"/>
    <w:rsid w:val="00FB2A20"/>
    <w:rsid w:val="00FB2C86"/>
    <w:rsid w:val="00FB5098"/>
    <w:rsid w:val="00FB5530"/>
    <w:rsid w:val="00FC4373"/>
    <w:rsid w:val="00FC741B"/>
    <w:rsid w:val="00FC7C26"/>
    <w:rsid w:val="00FD0995"/>
    <w:rsid w:val="00FD4916"/>
    <w:rsid w:val="00FD6E30"/>
    <w:rsid w:val="00FD7D18"/>
    <w:rsid w:val="00FE06BE"/>
    <w:rsid w:val="00FE26D3"/>
    <w:rsid w:val="00FE6BAA"/>
    <w:rsid w:val="00FE7CB2"/>
    <w:rsid w:val="00FF2E8A"/>
    <w:rsid w:val="00FF47E6"/>
    <w:rsid w:val="011941B1"/>
    <w:rsid w:val="01B97F5E"/>
    <w:rsid w:val="02670DCF"/>
    <w:rsid w:val="034D2939"/>
    <w:rsid w:val="03DE0AC7"/>
    <w:rsid w:val="043164D2"/>
    <w:rsid w:val="04DB69C7"/>
    <w:rsid w:val="056C2AC8"/>
    <w:rsid w:val="078D3A1F"/>
    <w:rsid w:val="08D94A4A"/>
    <w:rsid w:val="09332050"/>
    <w:rsid w:val="09652865"/>
    <w:rsid w:val="097D3D26"/>
    <w:rsid w:val="09B41CA1"/>
    <w:rsid w:val="0A422687"/>
    <w:rsid w:val="0ADA2F69"/>
    <w:rsid w:val="0AE10BBF"/>
    <w:rsid w:val="0B4B7E79"/>
    <w:rsid w:val="0BBA5614"/>
    <w:rsid w:val="0BBD0185"/>
    <w:rsid w:val="0D011260"/>
    <w:rsid w:val="0E572FD9"/>
    <w:rsid w:val="0F5D4929"/>
    <w:rsid w:val="10F22B45"/>
    <w:rsid w:val="11EA4A5D"/>
    <w:rsid w:val="123426ED"/>
    <w:rsid w:val="131D19CE"/>
    <w:rsid w:val="1330335A"/>
    <w:rsid w:val="13492913"/>
    <w:rsid w:val="140915D6"/>
    <w:rsid w:val="14AB42D7"/>
    <w:rsid w:val="159863B1"/>
    <w:rsid w:val="1614131D"/>
    <w:rsid w:val="16585639"/>
    <w:rsid w:val="16B6476F"/>
    <w:rsid w:val="1986454E"/>
    <w:rsid w:val="19BD2F50"/>
    <w:rsid w:val="19D653D3"/>
    <w:rsid w:val="19E576EB"/>
    <w:rsid w:val="1A9F3EA8"/>
    <w:rsid w:val="1AE557D7"/>
    <w:rsid w:val="1AF62448"/>
    <w:rsid w:val="1CE617B0"/>
    <w:rsid w:val="1D475092"/>
    <w:rsid w:val="1E543091"/>
    <w:rsid w:val="1E901E0D"/>
    <w:rsid w:val="1EED3748"/>
    <w:rsid w:val="1EFC4C0E"/>
    <w:rsid w:val="1F3709E9"/>
    <w:rsid w:val="1F5511FE"/>
    <w:rsid w:val="1F791B4A"/>
    <w:rsid w:val="1FF922F7"/>
    <w:rsid w:val="203A6C9D"/>
    <w:rsid w:val="21374CD0"/>
    <w:rsid w:val="213D7067"/>
    <w:rsid w:val="227E692E"/>
    <w:rsid w:val="235D1A58"/>
    <w:rsid w:val="23893375"/>
    <w:rsid w:val="23D049E7"/>
    <w:rsid w:val="24F31A54"/>
    <w:rsid w:val="25CD17C3"/>
    <w:rsid w:val="262E49A9"/>
    <w:rsid w:val="291C47AB"/>
    <w:rsid w:val="29564364"/>
    <w:rsid w:val="299E589B"/>
    <w:rsid w:val="29DD2289"/>
    <w:rsid w:val="2A0674B9"/>
    <w:rsid w:val="2A19342E"/>
    <w:rsid w:val="2A9E6EDA"/>
    <w:rsid w:val="2AC259E9"/>
    <w:rsid w:val="2B5F5209"/>
    <w:rsid w:val="2C3A38C6"/>
    <w:rsid w:val="2E6A0BA9"/>
    <w:rsid w:val="2EDA6C9B"/>
    <w:rsid w:val="2F033AB7"/>
    <w:rsid w:val="2F5A13C2"/>
    <w:rsid w:val="2FC604F2"/>
    <w:rsid w:val="30512DC8"/>
    <w:rsid w:val="305807BF"/>
    <w:rsid w:val="30BA0FA5"/>
    <w:rsid w:val="32697E49"/>
    <w:rsid w:val="33D939C5"/>
    <w:rsid w:val="355276CD"/>
    <w:rsid w:val="358E6196"/>
    <w:rsid w:val="37875802"/>
    <w:rsid w:val="397A5D84"/>
    <w:rsid w:val="3A38257A"/>
    <w:rsid w:val="3A773D1D"/>
    <w:rsid w:val="3AA47EC1"/>
    <w:rsid w:val="3B337E5E"/>
    <w:rsid w:val="3C0C2E90"/>
    <w:rsid w:val="3C153A08"/>
    <w:rsid w:val="3D6F398A"/>
    <w:rsid w:val="3D9E1027"/>
    <w:rsid w:val="3E6447D3"/>
    <w:rsid w:val="3FA27361"/>
    <w:rsid w:val="3FCB4391"/>
    <w:rsid w:val="407103DB"/>
    <w:rsid w:val="41DD26A1"/>
    <w:rsid w:val="432D5ADB"/>
    <w:rsid w:val="455B5C08"/>
    <w:rsid w:val="459E4A6E"/>
    <w:rsid w:val="45E5444B"/>
    <w:rsid w:val="45F10943"/>
    <w:rsid w:val="46024881"/>
    <w:rsid w:val="46432AD9"/>
    <w:rsid w:val="48C6265B"/>
    <w:rsid w:val="491679AE"/>
    <w:rsid w:val="4C7347CE"/>
    <w:rsid w:val="4CC8541E"/>
    <w:rsid w:val="4D7C7F66"/>
    <w:rsid w:val="4E497F1B"/>
    <w:rsid w:val="4E72372F"/>
    <w:rsid w:val="4E826BA1"/>
    <w:rsid w:val="4FB262DF"/>
    <w:rsid w:val="4FBF7ABB"/>
    <w:rsid w:val="502913D8"/>
    <w:rsid w:val="506A1CDA"/>
    <w:rsid w:val="513145D7"/>
    <w:rsid w:val="51DB264E"/>
    <w:rsid w:val="51DC0195"/>
    <w:rsid w:val="52013E99"/>
    <w:rsid w:val="52884ADC"/>
    <w:rsid w:val="54EF45B2"/>
    <w:rsid w:val="561C68FE"/>
    <w:rsid w:val="565D3B8A"/>
    <w:rsid w:val="56FA05E0"/>
    <w:rsid w:val="57205312"/>
    <w:rsid w:val="575B4970"/>
    <w:rsid w:val="58953240"/>
    <w:rsid w:val="58EA0B58"/>
    <w:rsid w:val="597102CD"/>
    <w:rsid w:val="5A8D0EAA"/>
    <w:rsid w:val="5AA42EE1"/>
    <w:rsid w:val="5AB20E18"/>
    <w:rsid w:val="5ADD04B0"/>
    <w:rsid w:val="5B6068E3"/>
    <w:rsid w:val="5B841BB9"/>
    <w:rsid w:val="5E127A94"/>
    <w:rsid w:val="5EC2103E"/>
    <w:rsid w:val="5F3651D2"/>
    <w:rsid w:val="602806E3"/>
    <w:rsid w:val="61E0223F"/>
    <w:rsid w:val="62275A9D"/>
    <w:rsid w:val="62A274F4"/>
    <w:rsid w:val="634467FD"/>
    <w:rsid w:val="63473BF7"/>
    <w:rsid w:val="64490C49"/>
    <w:rsid w:val="66832C22"/>
    <w:rsid w:val="66910CA5"/>
    <w:rsid w:val="67451519"/>
    <w:rsid w:val="675C6581"/>
    <w:rsid w:val="684D1637"/>
    <w:rsid w:val="68706054"/>
    <w:rsid w:val="688A0DE6"/>
    <w:rsid w:val="68917B90"/>
    <w:rsid w:val="68F02F9E"/>
    <w:rsid w:val="691D1DC4"/>
    <w:rsid w:val="69CF4947"/>
    <w:rsid w:val="6A4626EF"/>
    <w:rsid w:val="6A7C706D"/>
    <w:rsid w:val="6A837C0B"/>
    <w:rsid w:val="6ADF74D7"/>
    <w:rsid w:val="6BCA186A"/>
    <w:rsid w:val="6C0563E5"/>
    <w:rsid w:val="6C6C0C3F"/>
    <w:rsid w:val="6C89702F"/>
    <w:rsid w:val="6C917B8F"/>
    <w:rsid w:val="6D8A12B0"/>
    <w:rsid w:val="6DAD049D"/>
    <w:rsid w:val="6ECD387A"/>
    <w:rsid w:val="6F2F03DB"/>
    <w:rsid w:val="6FF139B8"/>
    <w:rsid w:val="70064409"/>
    <w:rsid w:val="72127AC6"/>
    <w:rsid w:val="73765CE2"/>
    <w:rsid w:val="74054D89"/>
    <w:rsid w:val="743442CC"/>
    <w:rsid w:val="748E5C99"/>
    <w:rsid w:val="74BF2C7A"/>
    <w:rsid w:val="7521048C"/>
    <w:rsid w:val="75682D8E"/>
    <w:rsid w:val="75A31161"/>
    <w:rsid w:val="75D25B10"/>
    <w:rsid w:val="76442929"/>
    <w:rsid w:val="76C27A63"/>
    <w:rsid w:val="783165F8"/>
    <w:rsid w:val="78ED75F7"/>
    <w:rsid w:val="795409C4"/>
    <w:rsid w:val="79A316CC"/>
    <w:rsid w:val="7AF60F49"/>
    <w:rsid w:val="7BBE3424"/>
    <w:rsid w:val="7E0328BC"/>
    <w:rsid w:val="7F127C0C"/>
    <w:rsid w:val="7FAC1FBF"/>
    <w:rsid w:val="7FF57E3F"/>
    <w:rsid w:val="7FF90700"/>
    <w:rsid w:val="FEEF0493"/>
    <w:rsid w:val="FEFF1C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1"/>
    <w:qFormat/>
    <w:uiPriority w:val="99"/>
    <w:pPr>
      <w:keepNext/>
      <w:keepLines/>
      <w:spacing w:before="340" w:after="330" w:line="578" w:lineRule="auto"/>
      <w:outlineLvl w:val="0"/>
    </w:pPr>
    <w:rPr>
      <w:rFonts w:ascii="Calibri" w:hAnsi="Calibri" w:eastAsia="宋体" w:cs="Times New Roman"/>
      <w:b/>
      <w:bCs/>
      <w:kern w:val="44"/>
      <w:sz w:val="44"/>
      <w:szCs w:val="44"/>
    </w:rPr>
  </w:style>
  <w:style w:type="paragraph" w:styleId="4">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8"/>
    <w:semiHidden/>
    <w:unhideWhenUsed/>
    <w:qFormat/>
    <w:uiPriority w:val="9"/>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6">
    <w:name w:val="Normal Indent"/>
    <w:basedOn w:val="1"/>
    <w:next w:val="7"/>
    <w:qFormat/>
    <w:uiPriority w:val="0"/>
    <w:pPr>
      <w:ind w:firstLine="420"/>
    </w:pPr>
  </w:style>
  <w:style w:type="paragraph" w:styleId="7">
    <w:name w:val="envelope return"/>
    <w:basedOn w:val="1"/>
    <w:qFormat/>
    <w:uiPriority w:val="0"/>
    <w:pPr>
      <w:snapToGrid w:val="0"/>
    </w:pPr>
    <w:rPr>
      <w:rFonts w:ascii="Arial" w:hAnsi="Arial" w:eastAsia="仿宋_GB2312"/>
      <w:sz w:val="32"/>
    </w:rPr>
  </w:style>
  <w:style w:type="paragraph" w:styleId="8">
    <w:name w:val="annotation text"/>
    <w:basedOn w:val="1"/>
    <w:semiHidden/>
    <w:unhideWhenUsed/>
    <w:qFormat/>
    <w:uiPriority w:val="99"/>
    <w:pPr>
      <w:jc w:val="left"/>
    </w:pPr>
  </w:style>
  <w:style w:type="paragraph" w:styleId="9">
    <w:name w:val="toc 3"/>
    <w:basedOn w:val="1"/>
    <w:next w:val="1"/>
    <w:unhideWhenUsed/>
    <w:qFormat/>
    <w:uiPriority w:val="39"/>
    <w:pPr>
      <w:ind w:left="840" w:leftChars="400"/>
    </w:pPr>
  </w:style>
  <w:style w:type="paragraph" w:styleId="10">
    <w:name w:val="Date"/>
    <w:basedOn w:val="1"/>
    <w:next w:val="1"/>
    <w:link w:val="46"/>
    <w:semiHidden/>
    <w:unhideWhenUsed/>
    <w:qFormat/>
    <w:uiPriority w:val="99"/>
    <w:pPr>
      <w:ind w:left="100" w:leftChars="2500"/>
    </w:pPr>
  </w:style>
  <w:style w:type="paragraph" w:styleId="11">
    <w:name w:val="Body Text Indent 2"/>
    <w:basedOn w:val="1"/>
    <w:link w:val="39"/>
    <w:qFormat/>
    <w:uiPriority w:val="0"/>
    <w:pPr>
      <w:spacing w:line="276" w:lineRule="auto"/>
      <w:ind w:firstLine="420" w:firstLineChars="200"/>
    </w:pPr>
    <w:rPr>
      <w:rFonts w:ascii="宋体" w:hAnsi="宋体" w:eastAsia="宋体" w:cs="Times New Roman"/>
      <w:snapToGrid w:val="0"/>
      <w:kern w:val="0"/>
      <w:szCs w:val="24"/>
    </w:rPr>
  </w:style>
  <w:style w:type="paragraph" w:styleId="12">
    <w:name w:val="Balloon Text"/>
    <w:basedOn w:val="1"/>
    <w:link w:val="27"/>
    <w:semiHidden/>
    <w:unhideWhenUsed/>
    <w:qFormat/>
    <w:uiPriority w:val="99"/>
    <w:rPr>
      <w:sz w:val="18"/>
      <w:szCs w:val="18"/>
    </w:rPr>
  </w:style>
  <w:style w:type="paragraph" w:styleId="13">
    <w:name w:val="footer"/>
    <w:basedOn w:val="1"/>
    <w:link w:val="26"/>
    <w:unhideWhenUsed/>
    <w:qFormat/>
    <w:uiPriority w:val="99"/>
    <w:pPr>
      <w:tabs>
        <w:tab w:val="center" w:pos="4153"/>
        <w:tab w:val="right" w:pos="8306"/>
      </w:tabs>
      <w:snapToGrid w:val="0"/>
      <w:jc w:val="left"/>
    </w:pPr>
    <w:rPr>
      <w:sz w:val="18"/>
      <w:szCs w:val="18"/>
    </w:rPr>
  </w:style>
  <w:style w:type="paragraph" w:styleId="14">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Subtitle"/>
    <w:basedOn w:val="1"/>
    <w:next w:val="1"/>
    <w:link w:val="35"/>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7">
    <w:name w:val="toc 2"/>
    <w:basedOn w:val="1"/>
    <w:next w:val="1"/>
    <w:unhideWhenUsed/>
    <w:qFormat/>
    <w:uiPriority w:val="39"/>
    <w:pPr>
      <w:tabs>
        <w:tab w:val="right" w:leader="dot" w:pos="9344"/>
      </w:tabs>
      <w:ind w:left="420" w:leftChars="200"/>
    </w:pPr>
  </w:style>
  <w:style w:type="paragraph" w:styleId="1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36"/>
    <w:qFormat/>
    <w:uiPriority w:val="10"/>
    <w:pPr>
      <w:spacing w:before="240" w:after="60"/>
      <w:jc w:val="center"/>
      <w:outlineLvl w:val="0"/>
    </w:pPr>
    <w:rPr>
      <w:rFonts w:eastAsia="宋体" w:asciiTheme="majorHAnsi" w:hAnsiTheme="majorHAnsi" w:cstheme="majorBidi"/>
      <w:b/>
      <w:bCs/>
      <w:sz w:val="32"/>
      <w:szCs w:val="32"/>
    </w:rPr>
  </w:style>
  <w:style w:type="table" w:styleId="21">
    <w:name w:val="Table Grid"/>
    <w:basedOn w:val="2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字符"/>
    <w:basedOn w:val="22"/>
    <w:link w:val="14"/>
    <w:qFormat/>
    <w:uiPriority w:val="99"/>
    <w:rPr>
      <w:sz w:val="18"/>
      <w:szCs w:val="18"/>
    </w:rPr>
  </w:style>
  <w:style w:type="character" w:customStyle="1" w:styleId="26">
    <w:name w:val="页脚 字符"/>
    <w:basedOn w:val="22"/>
    <w:link w:val="13"/>
    <w:qFormat/>
    <w:uiPriority w:val="99"/>
    <w:rPr>
      <w:sz w:val="18"/>
      <w:szCs w:val="18"/>
    </w:rPr>
  </w:style>
  <w:style w:type="character" w:customStyle="1" w:styleId="27">
    <w:name w:val="批注框文本 字符"/>
    <w:basedOn w:val="22"/>
    <w:link w:val="12"/>
    <w:semiHidden/>
    <w:qFormat/>
    <w:uiPriority w:val="99"/>
    <w:rPr>
      <w:sz w:val="18"/>
      <w:szCs w:val="18"/>
    </w:rPr>
  </w:style>
  <w:style w:type="paragraph" w:styleId="28">
    <w:name w:val="List Paragraph"/>
    <w:basedOn w:val="1"/>
    <w:qFormat/>
    <w:uiPriority w:val="34"/>
    <w:pPr>
      <w:ind w:firstLine="420" w:firstLineChars="200"/>
    </w:pPr>
  </w:style>
  <w:style w:type="paragraph" w:customStyle="1" w:styleId="2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0">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31">
    <w:name w:val="标题 1 字符"/>
    <w:basedOn w:val="22"/>
    <w:link w:val="3"/>
    <w:qFormat/>
    <w:uiPriority w:val="99"/>
    <w:rPr>
      <w:rFonts w:ascii="Calibri" w:hAnsi="Calibri" w:eastAsia="宋体" w:cs="Times New Roman"/>
      <w:b/>
      <w:bCs/>
      <w:kern w:val="44"/>
      <w:sz w:val="44"/>
      <w:szCs w:val="44"/>
    </w:rPr>
  </w:style>
  <w:style w:type="paragraph" w:styleId="3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character" w:customStyle="1" w:styleId="34">
    <w:name w:val="不明显强调1"/>
    <w:basedOn w:val="22"/>
    <w:qFormat/>
    <w:uiPriority w:val="19"/>
    <w:rPr>
      <w:i/>
      <w:iCs/>
      <w:color w:val="808080" w:themeColor="text1" w:themeTint="80"/>
      <w14:textFill>
        <w14:solidFill>
          <w14:schemeClr w14:val="tx1">
            <w14:lumMod w14:val="50000"/>
            <w14:lumOff w14:val="50000"/>
          </w14:schemeClr>
        </w14:solidFill>
      </w14:textFill>
    </w:rPr>
  </w:style>
  <w:style w:type="character" w:customStyle="1" w:styleId="35">
    <w:name w:val="副标题 字符"/>
    <w:basedOn w:val="22"/>
    <w:link w:val="16"/>
    <w:qFormat/>
    <w:uiPriority w:val="11"/>
    <w:rPr>
      <w:rFonts w:eastAsia="宋体" w:asciiTheme="majorHAnsi" w:hAnsiTheme="majorHAnsi" w:cstheme="majorBidi"/>
      <w:b/>
      <w:bCs/>
      <w:kern w:val="28"/>
      <w:sz w:val="32"/>
      <w:szCs w:val="32"/>
    </w:rPr>
  </w:style>
  <w:style w:type="character" w:customStyle="1" w:styleId="36">
    <w:name w:val="标题 字符"/>
    <w:basedOn w:val="22"/>
    <w:link w:val="19"/>
    <w:qFormat/>
    <w:uiPriority w:val="10"/>
    <w:rPr>
      <w:rFonts w:eastAsia="宋体" w:asciiTheme="majorHAnsi" w:hAnsiTheme="majorHAnsi" w:cstheme="majorBidi"/>
      <w:b/>
      <w:bCs/>
      <w:sz w:val="32"/>
      <w:szCs w:val="32"/>
    </w:rPr>
  </w:style>
  <w:style w:type="character" w:customStyle="1" w:styleId="37">
    <w:name w:val="标题 2 字符"/>
    <w:basedOn w:val="22"/>
    <w:link w:val="4"/>
    <w:qFormat/>
    <w:uiPriority w:val="9"/>
    <w:rPr>
      <w:rFonts w:asciiTheme="majorHAnsi" w:hAnsiTheme="majorHAnsi" w:eastAsiaTheme="majorEastAsia" w:cstheme="majorBidi"/>
      <w:b/>
      <w:bCs/>
      <w:sz w:val="32"/>
      <w:szCs w:val="32"/>
    </w:rPr>
  </w:style>
  <w:style w:type="character" w:customStyle="1" w:styleId="38">
    <w:name w:val="标题 3 字符"/>
    <w:basedOn w:val="22"/>
    <w:link w:val="5"/>
    <w:semiHidden/>
    <w:qFormat/>
    <w:uiPriority w:val="9"/>
    <w:rPr>
      <w:b/>
      <w:bCs/>
      <w:sz w:val="32"/>
      <w:szCs w:val="32"/>
    </w:rPr>
  </w:style>
  <w:style w:type="character" w:customStyle="1" w:styleId="39">
    <w:name w:val="正文文本缩进 2 字符"/>
    <w:basedOn w:val="22"/>
    <w:link w:val="11"/>
    <w:qFormat/>
    <w:uiPriority w:val="0"/>
    <w:rPr>
      <w:rFonts w:ascii="宋体" w:hAnsi="宋体" w:eastAsia="宋体" w:cs="Times New Roman"/>
      <w:snapToGrid w:val="0"/>
      <w:kern w:val="0"/>
      <w:szCs w:val="24"/>
    </w:rPr>
  </w:style>
  <w:style w:type="paragraph" w:customStyle="1" w:styleId="40">
    <w:name w:val="三级条标题"/>
    <w:basedOn w:val="1"/>
    <w:next w:val="1"/>
    <w:qFormat/>
    <w:uiPriority w:val="0"/>
    <w:pPr>
      <w:widowControl/>
      <w:ind w:left="855"/>
      <w:outlineLvl w:val="4"/>
    </w:pPr>
    <w:rPr>
      <w:rFonts w:ascii="黑体" w:hAnsi="Times New Roman" w:eastAsia="黑体" w:cs="Times New Roman"/>
      <w:kern w:val="0"/>
      <w:szCs w:val="20"/>
    </w:rPr>
  </w:style>
  <w:style w:type="paragraph" w:customStyle="1" w:styleId="41">
    <w:name w:val="附录章标题"/>
    <w:next w:val="1"/>
    <w:qFormat/>
    <w:uiPriority w:val="0"/>
    <w:pPr>
      <w:wordWrap w:val="0"/>
      <w:overflowPunct w:val="0"/>
      <w:autoSpaceDE w:val="0"/>
      <w:spacing w:beforeLines="50" w:afterLines="50"/>
      <w:ind w:left="4047"/>
      <w:jc w:val="both"/>
      <w:textAlignment w:val="baseline"/>
      <w:outlineLvl w:val="1"/>
    </w:pPr>
    <w:rPr>
      <w:rFonts w:ascii="黑体" w:hAnsi="Times New Roman" w:eastAsia="黑体" w:cs="Times New Roman"/>
      <w:kern w:val="21"/>
      <w:sz w:val="21"/>
      <w:lang w:val="en-US" w:eastAsia="zh-CN" w:bidi="ar-SA"/>
    </w:rPr>
  </w:style>
  <w:style w:type="paragraph" w:customStyle="1" w:styleId="42">
    <w:name w:val="附录表标题"/>
    <w:next w:val="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4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character" w:customStyle="1" w:styleId="44">
    <w:name w:val="high-light-bg4"/>
    <w:basedOn w:val="22"/>
    <w:qFormat/>
    <w:uiPriority w:val="0"/>
  </w:style>
  <w:style w:type="character" w:customStyle="1" w:styleId="45">
    <w:name w:val="ordinary-span-edit2"/>
    <w:basedOn w:val="22"/>
    <w:qFormat/>
    <w:uiPriority w:val="0"/>
  </w:style>
  <w:style w:type="character" w:customStyle="1" w:styleId="46">
    <w:name w:val="日期 字符"/>
    <w:basedOn w:val="22"/>
    <w:link w:val="10"/>
    <w:semiHidden/>
    <w:qFormat/>
    <w:uiPriority w:val="99"/>
  </w:style>
  <w:style w:type="paragraph" w:customStyle="1" w:styleId="47">
    <w:name w:val="正文1"/>
    <w:qFormat/>
    <w:uiPriority w:val="0"/>
    <w:pPr>
      <w:jc w:val="both"/>
    </w:pPr>
    <w:rPr>
      <w:rFonts w:ascii="Calibri" w:hAnsi="Calibri" w:eastAsia="宋体" w:cs="宋体"/>
      <w:kern w:val="2"/>
      <w:sz w:val="21"/>
      <w:szCs w:val="21"/>
      <w:lang w:val="en-US" w:eastAsia="zh-CN" w:bidi="ar-SA"/>
    </w:rPr>
  </w:style>
  <w:style w:type="character" w:customStyle="1" w:styleId="48">
    <w:name w:val="dash6b63_6587__char1"/>
    <w:qFormat/>
    <w:uiPriority w:val="0"/>
    <w:rPr>
      <w:rFonts w:hint="default" w:ascii="Times New Roman" w:hAnsi="Times New Roman" w:cs="Times New Roman"/>
      <w:sz w:val="20"/>
      <w:szCs w:val="20"/>
      <w:u w:val="none"/>
    </w:rPr>
  </w:style>
  <w:style w:type="paragraph" w:customStyle="1" w:styleId="49">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50">
    <w:name w:val="章标题"/>
    <w:next w:val="5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1">
    <w:name w:val="段"/>
    <w:qFormat/>
    <w:uiPriority w:val="0"/>
    <w:pPr>
      <w:widowControl w:val="0"/>
      <w:tabs>
        <w:tab w:val="center" w:pos="4201"/>
        <w:tab w:val="right" w:leader="dot" w:pos="9298"/>
      </w:tabs>
      <w:autoSpaceDE w:val="0"/>
      <w:autoSpaceDN w:val="0"/>
      <w:jc w:val="center"/>
    </w:pPr>
    <w:rPr>
      <w:rFonts w:ascii="宋体" w:hAnsi="Times New Roman" w:eastAsia="宋体" w:cs="Times New Roman"/>
      <w:sz w:val="18"/>
      <w:szCs w:val="18"/>
      <w:lang w:val="en-US" w:eastAsia="zh-CN" w:bidi="ar-SA"/>
    </w:rPr>
  </w:style>
  <w:style w:type="paragraph" w:customStyle="1" w:styleId="52">
    <w:name w:val="一级条标题"/>
    <w:next w:val="5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3">
    <w:name w:val="二级无"/>
    <w:basedOn w:val="54"/>
    <w:qFormat/>
    <w:uiPriority w:val="0"/>
    <w:pPr>
      <w:spacing w:before="0" w:beforeLines="0" w:after="0" w:afterLines="0"/>
    </w:pPr>
    <w:rPr>
      <w:rFonts w:ascii="宋体" w:eastAsia="宋体"/>
    </w:rPr>
  </w:style>
  <w:style w:type="paragraph" w:customStyle="1" w:styleId="54">
    <w:name w:val="二级条标题"/>
    <w:basedOn w:val="52"/>
    <w:next w:val="51"/>
    <w:qFormat/>
    <w:uiPriority w:val="0"/>
    <w:pPr>
      <w:numPr>
        <w:ilvl w:val="2"/>
      </w:numPr>
      <w:spacing w:before="50" w:after="50"/>
      <w:outlineLvl w:val="3"/>
    </w:pPr>
  </w:style>
  <w:style w:type="paragraph" w:customStyle="1" w:styleId="55">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57">
    <w:name w:val="注：（正文）"/>
    <w:basedOn w:val="58"/>
    <w:next w:val="51"/>
    <w:qFormat/>
    <w:uiPriority w:val="0"/>
  </w:style>
  <w:style w:type="paragraph" w:customStyle="1" w:styleId="58">
    <w:name w:val="注："/>
    <w:next w:val="51"/>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59">
    <w:name w:val="附录标识"/>
    <w:basedOn w:val="1"/>
    <w:next w:val="51"/>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0">
    <w:name w:val="正文表标题"/>
    <w:next w:val="51"/>
    <w:qFormat/>
    <w:uiPriority w:val="0"/>
    <w:pPr>
      <w:numPr>
        <w:ilvl w:val="0"/>
        <w:numId w:val="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61">
    <w:name w:val="Other|1"/>
    <w:basedOn w:val="1"/>
    <w:qFormat/>
    <w:uiPriority w:val="0"/>
    <w:rPr>
      <w:rFonts w:ascii="宋体" w:hAnsi="宋体" w:cs="宋体"/>
      <w:sz w:val="19"/>
      <w:szCs w:val="19"/>
      <w:lang w:val="zh-CN" w:bidi="zh-CN"/>
    </w:rPr>
  </w:style>
  <w:style w:type="paragraph" w:customStyle="1" w:styleId="62">
    <w:name w:val="终结线"/>
    <w:basedOn w:val="1"/>
    <w:qFormat/>
    <w:uiPriority w:val="0"/>
    <w:pPr>
      <w:framePr w:hSpace="181" w:vSpace="181" w:wrap="around" w:vAnchor="text" w:hAnchor="margin" w:xAlign="center" w:y="285"/>
    </w:pPr>
  </w:style>
  <w:style w:type="paragraph" w:customStyle="1" w:styleId="63">
    <w:name w:val="标准文件_术语条一"/>
    <w:basedOn w:val="64"/>
    <w:next w:val="67"/>
    <w:qFormat/>
    <w:uiPriority w:val="0"/>
  </w:style>
  <w:style w:type="paragraph" w:customStyle="1" w:styleId="64">
    <w:name w:val="标准文件_一级无标题"/>
    <w:basedOn w:val="65"/>
    <w:qFormat/>
    <w:uiPriority w:val="0"/>
    <w:pPr>
      <w:spacing w:before="0" w:beforeLines="0" w:after="0" w:afterLines="0"/>
      <w:outlineLvl w:val="9"/>
    </w:pPr>
    <w:rPr>
      <w:rFonts w:ascii="宋体" w:eastAsia="宋体"/>
    </w:rPr>
  </w:style>
  <w:style w:type="paragraph" w:customStyle="1" w:styleId="65">
    <w:name w:val="标准文件_一级条标题"/>
    <w:basedOn w:val="66"/>
    <w:next w:val="67"/>
    <w:qFormat/>
    <w:uiPriority w:val="0"/>
    <w:pPr>
      <w:numPr>
        <w:ilvl w:val="2"/>
      </w:numPr>
      <w:spacing w:before="50" w:beforeLines="50" w:after="50" w:afterLines="50"/>
      <w:outlineLvl w:val="1"/>
    </w:pPr>
  </w:style>
  <w:style w:type="paragraph" w:customStyle="1" w:styleId="66">
    <w:name w:val="标准文件_章标题"/>
    <w:next w:val="67"/>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7">
    <w:name w:val="标准文件_段"/>
    <w:link w:val="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8">
    <w:name w:val="标准文件_二级无标题"/>
    <w:basedOn w:val="69"/>
    <w:qFormat/>
    <w:uiPriority w:val="0"/>
    <w:pPr>
      <w:spacing w:before="0" w:beforeLines="0" w:after="0" w:afterLines="0"/>
      <w:outlineLvl w:val="9"/>
    </w:pPr>
    <w:rPr>
      <w:rFonts w:ascii="宋体" w:eastAsia="宋体"/>
    </w:rPr>
  </w:style>
  <w:style w:type="paragraph" w:customStyle="1" w:styleId="69">
    <w:name w:val="标准文件_二级条标题"/>
    <w:next w:val="67"/>
    <w:qFormat/>
    <w:uiPriority w:val="0"/>
    <w:pPr>
      <w:widowControl w:val="0"/>
      <w:numPr>
        <w:ilvl w:val="3"/>
        <w:numId w:val="8"/>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70">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2">
    <w:name w:val="说明文字"/>
    <w:basedOn w:val="1"/>
    <w:qFormat/>
    <w:uiPriority w:val="0"/>
  </w:style>
  <w:style w:type="paragraph" w:customStyle="1" w:styleId="73">
    <w:name w:val="标准文件_附录一级条标题"/>
    <w:next w:val="67"/>
    <w:qFormat/>
    <w:uiPriority w:val="0"/>
    <w:pPr>
      <w:widowControl w:val="0"/>
      <w:numPr>
        <w:ilvl w:val="1"/>
        <w:numId w:val="6"/>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4">
    <w:name w:val="标准文件_附录图标题"/>
    <w:next w:val="67"/>
    <w:qFormat/>
    <w:uiPriority w:val="0"/>
    <w:pPr>
      <w:numPr>
        <w:ilvl w:val="1"/>
        <w:numId w:val="9"/>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75">
    <w:name w:val="标准文件_参考文献标题"/>
    <w:basedOn w:val="1"/>
    <w:next w:val="1"/>
    <w:qFormat/>
    <w:uiPriority w:val="0"/>
    <w:pPr>
      <w:widowControl/>
      <w:shd w:val="clear" w:color="FFFFFF" w:fill="FFFFFF"/>
      <w:spacing w:before="580" w:after="50" w:afterLines="50"/>
      <w:jc w:val="center"/>
      <w:outlineLvl w:val="0"/>
    </w:pPr>
    <w:rPr>
      <w:rFonts w:ascii="黑体" w:eastAsia="黑体"/>
      <w:kern w:val="0"/>
    </w:rPr>
  </w:style>
  <w:style w:type="paragraph" w:customStyle="1" w:styleId="76">
    <w:name w:val="标准文件_表格"/>
    <w:basedOn w:val="67"/>
    <w:qFormat/>
    <w:uiPriority w:val="0"/>
    <w:pPr>
      <w:ind w:firstLine="0" w:firstLineChars="0"/>
      <w:jc w:val="center"/>
    </w:pPr>
    <w:rPr>
      <w:sz w:val="18"/>
    </w:rPr>
  </w:style>
  <w:style w:type="paragraph" w:customStyle="1" w:styleId="77">
    <w:name w:val="标准文件_注×："/>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78">
    <w:name w:val="标准文件_封面发布日期"/>
    <w:basedOn w:val="1"/>
    <w:qFormat/>
    <w:uiPriority w:val="0"/>
    <w:pPr>
      <w:adjustRightInd w:val="0"/>
      <w:spacing w:line="310" w:lineRule="exact"/>
    </w:pPr>
    <w:rPr>
      <w:rFonts w:ascii="黑体" w:hAnsi="Calibri" w:eastAsia="黑体" w:cs="Times New Roman"/>
      <w:kern w:val="0"/>
      <w:sz w:val="28"/>
      <w:szCs w:val="21"/>
    </w:rPr>
  </w:style>
  <w:style w:type="paragraph" w:customStyle="1" w:styleId="79">
    <w:name w:val="标准文件_三级条标题"/>
    <w:basedOn w:val="69"/>
    <w:next w:val="67"/>
    <w:qFormat/>
    <w:uiPriority w:val="0"/>
    <w:pPr>
      <w:widowControl/>
      <w:numPr>
        <w:ilvl w:val="0"/>
        <w:numId w:val="0"/>
      </w:numPr>
      <w:outlineLvl w:val="3"/>
    </w:pPr>
  </w:style>
  <w:style w:type="paragraph" w:customStyle="1" w:styleId="80">
    <w:name w:val="标准文件_四级条标题"/>
    <w:next w:val="67"/>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81">
    <w:name w:val="标准文件_五级条标题"/>
    <w:next w:val="67"/>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82">
    <w:name w:val="标准文件_数字编号列项（二级）"/>
    <w:qFormat/>
    <w:uiPriority w:val="0"/>
    <w:pPr>
      <w:numPr>
        <w:ilvl w:val="1"/>
        <w:numId w:val="11"/>
      </w:numPr>
      <w:jc w:val="both"/>
    </w:pPr>
    <w:rPr>
      <w:rFonts w:ascii="宋体" w:hAnsi="Times New Roman" w:eastAsia="宋体" w:cs="Times New Roman"/>
      <w:sz w:val="21"/>
      <w:lang w:val="en-US" w:eastAsia="zh-CN" w:bidi="ar-SA"/>
    </w:rPr>
  </w:style>
  <w:style w:type="paragraph" w:customStyle="1" w:styleId="83">
    <w:name w:val="标准文件_编号列项（三级）"/>
    <w:qFormat/>
    <w:uiPriority w:val="0"/>
    <w:pPr>
      <w:numPr>
        <w:ilvl w:val="2"/>
        <w:numId w:val="11"/>
      </w:numPr>
    </w:pPr>
    <w:rPr>
      <w:rFonts w:ascii="宋体" w:hAnsi="Times New Roman" w:eastAsia="宋体" w:cs="Times New Roman"/>
      <w:sz w:val="21"/>
      <w:lang w:val="en-US" w:eastAsia="zh-CN" w:bidi="ar-SA"/>
    </w:rPr>
  </w:style>
  <w:style w:type="paragraph" w:customStyle="1" w:styleId="84">
    <w:name w:val="标准文件_一级项"/>
    <w:qFormat/>
    <w:uiPriority w:val="0"/>
    <w:pPr>
      <w:tabs>
        <w:tab w:val="left" w:pos="851"/>
      </w:tabs>
      <w:ind w:left="851" w:hanging="426"/>
    </w:pPr>
    <w:rPr>
      <w:rFonts w:ascii="宋体" w:hAnsi="Times New Roman" w:eastAsia="宋体" w:cs="Times New Roman"/>
      <w:sz w:val="21"/>
      <w:lang w:val="en-US" w:eastAsia="zh-CN" w:bidi="ar-SA"/>
    </w:rPr>
  </w:style>
  <w:style w:type="paragraph" w:customStyle="1" w:styleId="85">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86">
    <w:name w:val="标准文件_三级无标题"/>
    <w:basedOn w:val="79"/>
    <w:qFormat/>
    <w:uiPriority w:val="0"/>
    <w:pPr>
      <w:spacing w:before="0" w:beforeLines="0" w:after="0" w:afterLines="0"/>
      <w:outlineLvl w:val="9"/>
    </w:pPr>
    <w:rPr>
      <w:rFonts w:ascii="宋体" w:eastAsia="宋体"/>
    </w:rPr>
  </w:style>
  <w:style w:type="paragraph" w:customStyle="1" w:styleId="87">
    <w:name w:val="标准文件_三级项"/>
    <w:basedOn w:val="1"/>
    <w:qFormat/>
    <w:uiPriority w:val="0"/>
    <w:pPr>
      <w:adjustRightInd w:val="0"/>
      <w:spacing w:line="536870612" w:lineRule="auto"/>
      <w:ind w:left="851" w:hanging="426"/>
    </w:pPr>
    <w:rPr>
      <w:rFonts w:ascii="Times New Roman" w:hAnsi="Times New Roman" w:eastAsia="宋体" w:cs="Times New Roman"/>
      <w:szCs w:val="21"/>
    </w:rPr>
  </w:style>
  <w:style w:type="paragraph" w:customStyle="1" w:styleId="88">
    <w:name w:val="标准文件_字母编号列项（一级）"/>
    <w:qFormat/>
    <w:uiPriority w:val="0"/>
    <w:pPr>
      <w:numPr>
        <w:ilvl w:val="0"/>
        <w:numId w:val="11"/>
      </w:numPr>
      <w:jc w:val="both"/>
    </w:pPr>
    <w:rPr>
      <w:rFonts w:ascii="宋体" w:hAnsi="Times New Roman" w:eastAsia="宋体" w:cs="Times New Roman"/>
      <w:sz w:val="21"/>
      <w:lang w:val="en-US" w:eastAsia="zh-CN" w:bidi="ar-SA"/>
    </w:rPr>
  </w:style>
  <w:style w:type="character" w:customStyle="1" w:styleId="89">
    <w:name w:val="标准文件_段 Char"/>
    <w:link w:val="67"/>
    <w:qFormat/>
    <w:uiPriority w:val="0"/>
    <w:rPr>
      <w:rFonts w:ascii="宋体"/>
      <w:sz w:val="21"/>
    </w:rPr>
  </w:style>
  <w:style w:type="paragraph" w:customStyle="1" w:styleId="90">
    <w:name w:val="标准文件_二级项2"/>
    <w:basedOn w:val="67"/>
    <w:qFormat/>
    <w:uiPriority w:val="0"/>
    <w:pPr>
      <w:ind w:left="851" w:firstLine="0" w:firstLineChars="0"/>
    </w:pPr>
  </w:style>
  <w:style w:type="paragraph" w:customStyle="1" w:styleId="91">
    <w:name w:val="标准文件_附录英文标识"/>
    <w:next w:val="2"/>
    <w:qFormat/>
    <w:uiPriority w:val="0"/>
    <w:pPr>
      <w:numPr>
        <w:ilvl w:val="0"/>
        <w:numId w:val="12"/>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92">
    <w:name w:val="标准文件_破折号列项"/>
    <w:qFormat/>
    <w:uiPriority w:val="0"/>
    <w:pPr>
      <w:numPr>
        <w:ilvl w:val="0"/>
        <w:numId w:val="13"/>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注："/>
    <w:next w:val="67"/>
    <w:qFormat/>
    <w:uiPriority w:val="0"/>
    <w:pPr>
      <w:widowControl w:val="0"/>
      <w:autoSpaceDE w:val="0"/>
      <w:autoSpaceDN w:val="0"/>
      <w:ind w:left="737" w:hanging="374"/>
      <w:jc w:val="both"/>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theme" Target="theme/theme1.xml"/><Relationship Id="rId25" Type="http://schemas.openxmlformats.org/officeDocument/2006/relationships/footer" Target="foot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20</Pages>
  <Words>7819</Words>
  <Characters>8132</Characters>
  <Lines>78</Lines>
  <Paragraphs>22</Paragraphs>
  <TotalTime>10</TotalTime>
  <ScaleCrop>false</ScaleCrop>
  <LinksUpToDate>false</LinksUpToDate>
  <CharactersWithSpaces>8479</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2024-11-12T22:19:00Z</dcterms:created>
  <dc:creator>wy</dc:creator>
  <cp:lastModifiedBy>sugou</cp:lastModifiedBy>
  <cp:lastPrinted>2024-11-12T13:00:00Z</cp:lastPrinted>
  <dcterms:modified xsi:type="dcterms:W3CDTF">2024-11-17T10:34:40Z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2D391516055844F695F153CAFD5B753F</vt:lpwstr>
  </property>
</Properties>
</file>